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B87D" w14:textId="77777777" w:rsidR="00BF41C8" w:rsidRDefault="00E230F2" w:rsidP="00A06A65">
      <w:pPr>
        <w:jc w:val="center"/>
        <w:rPr>
          <w:b/>
        </w:rPr>
      </w:pPr>
      <w:r w:rsidRPr="00BF41C8">
        <w:rPr>
          <w:b/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2F4F4B50" wp14:editId="100909D7">
                <wp:simplePos x="0" y="0"/>
                <wp:positionH relativeFrom="margin">
                  <wp:align>right</wp:align>
                </wp:positionH>
                <wp:positionV relativeFrom="margin">
                  <wp:posOffset>-609600</wp:posOffset>
                </wp:positionV>
                <wp:extent cx="5934075" cy="790575"/>
                <wp:effectExtent l="0" t="0" r="9525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790575"/>
                          <a:chOff x="0" y="0"/>
                          <a:chExt cx="3567448" cy="753222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3047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2182D2" w14:textId="525BD61B" w:rsidR="00BF41C8" w:rsidRPr="00BF41C8" w:rsidRDefault="00BF41C8">
                              <w:pPr>
                                <w:jc w:val="center"/>
                                <w:rPr>
                                  <w:rFonts w:eastAsiaTheme="maj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F41C8">
                                <w:rPr>
                                  <w:rFonts w:eastAsiaTheme="maj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F01F8A">
                                <w:rPr>
                                  <w:rFonts w:eastAsiaTheme="maj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2"/>
                            <a:ext cx="3567448" cy="500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E16CF" w14:textId="77777777" w:rsidR="00BF41C8" w:rsidRPr="005C1281" w:rsidRDefault="00BF41C8" w:rsidP="00BF41C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C1281">
                                <w:rPr>
                                  <w:b/>
                                </w:rPr>
                                <w:t>CIPPS Summer Faculty Procedures</w:t>
                              </w:r>
                            </w:p>
                            <w:p w14:paraId="37DDE55B" w14:textId="77777777" w:rsidR="00BF41C8" w:rsidRDefault="00BF41C8" w:rsidP="00BF41C8">
                              <w:pPr>
                                <w:jc w:val="center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 w:rsidRPr="005C1281">
                                <w:rPr>
                                  <w:b/>
                                </w:rPr>
                                <w:t xml:space="preserve">Nine-Month Faculty Receiving </w:t>
                              </w:r>
                              <w:r>
                                <w:rPr>
                                  <w:b/>
                                </w:rPr>
                                <w:t xml:space="preserve">18 </w:t>
                              </w:r>
                              <w:r w:rsidRPr="005C1281">
                                <w:rPr>
                                  <w:b/>
                                </w:rPr>
                                <w:t xml:space="preserve">Paychecks during the </w:t>
                              </w:r>
                              <w:r w:rsidR="00E230F2">
                                <w:rPr>
                                  <w:b/>
                                </w:rPr>
                                <w:t>Academic</w:t>
                              </w:r>
                              <w:r w:rsidRPr="005C1281">
                                <w:rPr>
                                  <w:b/>
                                </w:rPr>
                                <w:t xml:space="preserve"> Year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F4B50" id="Group 198" o:spid="_x0000_s1026" style="position:absolute;left:0;text-align:left;margin-left:416.05pt;margin-top:-48pt;width:467.25pt;height:62.25pt;z-index:251659264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size="35674,7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">
                <v:rect id="Rectangle 199" o:spid="_x0000_s1027" style="position:absolute;width:35674;height:3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5b9bd5 [3204]" stroked="f" strokeweight="2pt">
                  <v:textbox>
                    <w:txbxContent>
                      <w:p w14:paraId="232182D2" w14:textId="525BD61B" w:rsidR="00BF41C8" w:rsidRPr="00BF41C8" w:rsidRDefault="00BF41C8">
                        <w:pPr>
                          <w:jc w:val="center"/>
                          <w:rPr>
                            <w:rFonts w:eastAsiaTheme="maj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F41C8">
                          <w:rPr>
                            <w:rFonts w:eastAsiaTheme="majorEastAsia"/>
                            <w:color w:val="FFFFFF" w:themeColor="background1"/>
                            <w:sz w:val="28"/>
                            <w:szCs w:val="28"/>
                          </w:rPr>
                          <w:t>202</w:t>
                        </w:r>
                        <w:r w:rsidR="00F01F8A">
                          <w:rPr>
                            <w:rFonts w:eastAsiaTheme="majorEastAsia"/>
                            <w:color w:val="FFFFFF" w:themeColor="background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5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5C9E16CF" w14:textId="77777777" w:rsidR="00BF41C8" w:rsidRPr="005C1281" w:rsidRDefault="00BF41C8" w:rsidP="00BF41C8">
                        <w:pPr>
                          <w:jc w:val="center"/>
                          <w:rPr>
                            <w:b/>
                          </w:rPr>
                        </w:pPr>
                        <w:r w:rsidRPr="005C1281">
                          <w:rPr>
                            <w:b/>
                          </w:rPr>
                          <w:t>CIPPS Summer Faculty Procedures</w:t>
                        </w:r>
                      </w:p>
                      <w:p w14:paraId="37DDE55B" w14:textId="77777777" w:rsidR="00BF41C8" w:rsidRDefault="00BF41C8" w:rsidP="00BF41C8">
                        <w:pPr>
                          <w:jc w:val="center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 w:rsidRPr="005C1281">
                          <w:rPr>
                            <w:b/>
                          </w:rPr>
                          <w:t xml:space="preserve">Nine-Month Faculty Receiving </w:t>
                        </w:r>
                        <w:r>
                          <w:rPr>
                            <w:b/>
                          </w:rPr>
                          <w:t xml:space="preserve">18 </w:t>
                        </w:r>
                        <w:r w:rsidRPr="005C1281">
                          <w:rPr>
                            <w:b/>
                          </w:rPr>
                          <w:t xml:space="preserve">Paychecks during the </w:t>
                        </w:r>
                        <w:r w:rsidR="00E230F2">
                          <w:rPr>
                            <w:b/>
                          </w:rPr>
                          <w:t>Academic</w:t>
                        </w:r>
                        <w:r w:rsidRPr="005C1281">
                          <w:rPr>
                            <w:b/>
                          </w:rPr>
                          <w:t xml:space="preserve"> Year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2915D71" w14:textId="77777777" w:rsidR="000200DF" w:rsidRDefault="000200DF" w:rsidP="00A06A65">
      <w:pPr>
        <w:spacing w:line="360" w:lineRule="auto"/>
      </w:pPr>
    </w:p>
    <w:p w14:paraId="3DBA7D36" w14:textId="77777777" w:rsidR="006F383B" w:rsidRPr="00090B79" w:rsidRDefault="006F383B" w:rsidP="00A06A65">
      <w:pPr>
        <w:spacing w:line="360" w:lineRule="auto"/>
        <w:rPr>
          <w:b/>
        </w:rPr>
      </w:pPr>
      <w:r>
        <w:t xml:space="preserve">Nine-month faculty employees who teach classes during the summer session (May 16 through August 15) will continue to be paid on Frequency 71. </w:t>
      </w:r>
      <w:r w:rsidRPr="00BB7343">
        <w:rPr>
          <w:iCs/>
        </w:rPr>
        <w:t>For your convenience, Special Pay “</w:t>
      </w:r>
      <w:r w:rsidR="002B23CA" w:rsidRPr="00BB7343">
        <w:rPr>
          <w:iCs/>
        </w:rPr>
        <w:t>0</w:t>
      </w:r>
      <w:r w:rsidRPr="00BB7343">
        <w:rPr>
          <w:iCs/>
        </w:rPr>
        <w:t>12” may be used to designate summer wages</w:t>
      </w:r>
      <w:r w:rsidRPr="00090B79">
        <w:rPr>
          <w:b/>
          <w:iCs/>
        </w:rPr>
        <w:t>.</w:t>
      </w:r>
      <w:r w:rsidR="00BF41C8">
        <w:rPr>
          <w:b/>
          <w:iCs/>
        </w:rPr>
        <w:t xml:space="preserve"> </w:t>
      </w:r>
      <w:r w:rsidR="00130672" w:rsidRPr="00A06A65">
        <w:rPr>
          <w:iCs/>
        </w:rPr>
        <w:t xml:space="preserve">Frequency 71 </w:t>
      </w:r>
      <w:r w:rsidR="00130672" w:rsidRPr="00A06A65">
        <w:rPr>
          <w:iCs/>
          <w:u w:val="single"/>
        </w:rPr>
        <w:t>cannot</w:t>
      </w:r>
      <w:r w:rsidR="00130672" w:rsidRPr="00A06A65">
        <w:rPr>
          <w:iCs/>
        </w:rPr>
        <w:t xml:space="preserve"> be used in HRMS</w:t>
      </w:r>
      <w:r w:rsidR="00B7440C" w:rsidRPr="00A06A65">
        <w:rPr>
          <w:iCs/>
        </w:rPr>
        <w:t xml:space="preserve"> during the summer (May 16 </w:t>
      </w:r>
      <w:r w:rsidR="00BB7343" w:rsidRPr="00A06A65">
        <w:rPr>
          <w:iCs/>
        </w:rPr>
        <w:t>–</w:t>
      </w:r>
      <w:r w:rsidR="00B7440C" w:rsidRPr="00A06A65">
        <w:rPr>
          <w:iCs/>
        </w:rPr>
        <w:t xml:space="preserve"> August</w:t>
      </w:r>
      <w:r w:rsidR="00BB7343" w:rsidRPr="00A06A65">
        <w:rPr>
          <w:iCs/>
        </w:rPr>
        <w:t xml:space="preserve"> 15</w:t>
      </w:r>
      <w:r w:rsidR="00B7440C" w:rsidRPr="00A06A65">
        <w:rPr>
          <w:iCs/>
        </w:rPr>
        <w:t>)</w:t>
      </w:r>
      <w:r w:rsidR="00130672" w:rsidRPr="00A06A65">
        <w:rPr>
          <w:iCs/>
        </w:rPr>
        <w:t xml:space="preserve">. All </w:t>
      </w:r>
      <w:r w:rsidR="00BB7343" w:rsidRPr="00A06A65">
        <w:rPr>
          <w:iCs/>
        </w:rPr>
        <w:t xml:space="preserve">summer payments to 9-month 18 pay </w:t>
      </w:r>
      <w:r w:rsidR="00B7440C" w:rsidRPr="00A06A65">
        <w:rPr>
          <w:iCs/>
        </w:rPr>
        <w:t>faculty</w:t>
      </w:r>
      <w:r w:rsidR="00BB7343" w:rsidRPr="00A06A65">
        <w:rPr>
          <w:iCs/>
        </w:rPr>
        <w:t xml:space="preserve"> must be processed exclusively in CIPPS</w:t>
      </w:r>
      <w:r w:rsidR="00B7440C" w:rsidRPr="00A06A65">
        <w:rPr>
          <w:iCs/>
        </w:rPr>
        <w:t>.</w:t>
      </w:r>
    </w:p>
    <w:p w14:paraId="36624D32" w14:textId="77777777" w:rsidR="006F383B" w:rsidRDefault="006F383B" w:rsidP="00A06A65">
      <w:pPr>
        <w:spacing w:line="360" w:lineRule="auto"/>
      </w:pPr>
    </w:p>
    <w:p w14:paraId="74384310" w14:textId="77777777" w:rsidR="006F383B" w:rsidRPr="00EE07B5" w:rsidRDefault="00E230F2" w:rsidP="00E230F2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4680"/>
          <w:tab w:val="right" w:pos="9360"/>
        </w:tabs>
        <w:spacing w:line="360" w:lineRule="auto"/>
        <w:jc w:val="left"/>
        <w:rPr>
          <w:rStyle w:val="BookTitle"/>
          <w:b/>
        </w:rPr>
      </w:pPr>
      <w:r>
        <w:rPr>
          <w:rStyle w:val="BookTitle"/>
          <w:b/>
        </w:rPr>
        <w:tab/>
      </w:r>
      <w:r w:rsidR="006F383B" w:rsidRPr="00EE07B5">
        <w:rPr>
          <w:rStyle w:val="BookTitle"/>
          <w:b/>
        </w:rPr>
        <w:t>May 1 – May 15</w:t>
      </w:r>
      <w:r>
        <w:rPr>
          <w:rStyle w:val="BookTitle"/>
          <w:b/>
        </w:rPr>
        <w:tab/>
      </w:r>
    </w:p>
    <w:p w14:paraId="2D71BD17" w14:textId="77777777" w:rsidR="006F383B" w:rsidRDefault="006F383B" w:rsidP="00A06A65">
      <w:pPr>
        <w:spacing w:line="360" w:lineRule="auto"/>
      </w:pPr>
    </w:p>
    <w:p w14:paraId="7F6FF3FE" w14:textId="77777777" w:rsidR="0092220B" w:rsidRPr="00A06A65" w:rsidRDefault="0092220B" w:rsidP="00A06A65">
      <w:pPr>
        <w:spacing w:line="360" w:lineRule="auto"/>
        <w:rPr>
          <w:b/>
          <w:bCs/>
          <w:iCs/>
        </w:rPr>
      </w:pPr>
      <w:r w:rsidRPr="00A06A65">
        <w:rPr>
          <w:b/>
          <w:bCs/>
          <w:iCs/>
        </w:rPr>
        <w:t>R</w:t>
      </w:r>
      <w:r w:rsidR="00A06A65" w:rsidRPr="00A06A65">
        <w:rPr>
          <w:b/>
          <w:bCs/>
          <w:iCs/>
        </w:rPr>
        <w:t>etirement:</w:t>
      </w:r>
      <w:r w:rsidRPr="00A06A65">
        <w:rPr>
          <w:b/>
          <w:bCs/>
          <w:iCs/>
        </w:rPr>
        <w:t xml:space="preserve"> </w:t>
      </w:r>
    </w:p>
    <w:p w14:paraId="04F052E9" w14:textId="77777777" w:rsidR="006A139E" w:rsidRDefault="0092220B" w:rsidP="00A06A65">
      <w:pPr>
        <w:spacing w:line="360" w:lineRule="auto"/>
        <w:rPr>
          <w:bCs/>
          <w:iCs/>
        </w:rPr>
      </w:pPr>
      <w:r w:rsidRPr="00A06A65">
        <w:rPr>
          <w:bCs/>
          <w:iCs/>
        </w:rPr>
        <w:t xml:space="preserve">Reminder – VRS Modernization requires the collection of </w:t>
      </w:r>
      <w:r w:rsidR="008F6ECA" w:rsidRPr="00A06A65">
        <w:rPr>
          <w:bCs/>
          <w:iCs/>
        </w:rPr>
        <w:t xml:space="preserve">VRS </w:t>
      </w:r>
      <w:r w:rsidRPr="00A06A65">
        <w:rPr>
          <w:bCs/>
          <w:iCs/>
        </w:rPr>
        <w:t>retirement</w:t>
      </w:r>
      <w:r w:rsidR="00D94A8F">
        <w:rPr>
          <w:bCs/>
          <w:iCs/>
        </w:rPr>
        <w:t>-</w:t>
      </w:r>
      <w:r w:rsidR="008F6ECA" w:rsidRPr="00A06A65">
        <w:rPr>
          <w:bCs/>
          <w:iCs/>
        </w:rPr>
        <w:t xml:space="preserve">related </w:t>
      </w:r>
      <w:r w:rsidRPr="00A06A65">
        <w:rPr>
          <w:bCs/>
          <w:iCs/>
        </w:rPr>
        <w:t xml:space="preserve">deductions during the </w:t>
      </w:r>
      <w:r w:rsidRPr="00A06A65">
        <w:rPr>
          <w:bCs/>
          <w:iCs/>
          <w:u w:val="single"/>
        </w:rPr>
        <w:t>contract period</w:t>
      </w:r>
      <w:r w:rsidRPr="00A06A65">
        <w:rPr>
          <w:bCs/>
          <w:iCs/>
        </w:rPr>
        <w:t>. The co</w:t>
      </w:r>
      <w:r w:rsidR="008F6ECA" w:rsidRPr="00A06A65">
        <w:rPr>
          <w:bCs/>
          <w:iCs/>
        </w:rPr>
        <w:t xml:space="preserve">ntract period for </w:t>
      </w:r>
      <w:r w:rsidR="00D94A8F">
        <w:rPr>
          <w:bCs/>
          <w:iCs/>
        </w:rPr>
        <w:t xml:space="preserve">the </w:t>
      </w:r>
      <w:r w:rsidR="008F6ECA" w:rsidRPr="00A06A65">
        <w:rPr>
          <w:bCs/>
          <w:iCs/>
        </w:rPr>
        <w:t>9-month</w:t>
      </w:r>
      <w:r w:rsidRPr="00A06A65">
        <w:rPr>
          <w:bCs/>
          <w:iCs/>
        </w:rPr>
        <w:t xml:space="preserve"> </w:t>
      </w:r>
      <w:r w:rsidR="004A2E0B" w:rsidRPr="00A06A65">
        <w:rPr>
          <w:bCs/>
          <w:iCs/>
        </w:rPr>
        <w:t>faculty</w:t>
      </w:r>
      <w:r w:rsidRPr="00A06A65">
        <w:rPr>
          <w:bCs/>
          <w:iCs/>
        </w:rPr>
        <w:t xml:space="preserve"> is September through May. Consequently, </w:t>
      </w:r>
      <w:r w:rsidRPr="00A06A65">
        <w:rPr>
          <w:bCs/>
          <w:iCs/>
          <w:u w:val="single"/>
        </w:rPr>
        <w:t>VRS</w:t>
      </w:r>
      <w:r w:rsidRPr="00A06A65">
        <w:rPr>
          <w:bCs/>
          <w:iCs/>
        </w:rPr>
        <w:t xml:space="preserve"> </w:t>
      </w:r>
      <w:r w:rsidR="004A2E0B" w:rsidRPr="00A06A65">
        <w:rPr>
          <w:bCs/>
          <w:iCs/>
        </w:rPr>
        <w:t xml:space="preserve">related </w:t>
      </w:r>
      <w:r w:rsidRPr="00A06A65">
        <w:rPr>
          <w:bCs/>
          <w:iCs/>
        </w:rPr>
        <w:t>retirement deductions</w:t>
      </w:r>
      <w:r w:rsidR="00BB4FBF" w:rsidRPr="00A06A65">
        <w:rPr>
          <w:bCs/>
          <w:iCs/>
        </w:rPr>
        <w:t xml:space="preserve"> </w:t>
      </w:r>
      <w:r w:rsidRPr="00A06A65">
        <w:rPr>
          <w:bCs/>
          <w:iCs/>
        </w:rPr>
        <w:t xml:space="preserve">012, </w:t>
      </w:r>
      <w:r w:rsidR="00C543F1" w:rsidRPr="00A06A65">
        <w:rPr>
          <w:bCs/>
          <w:iCs/>
        </w:rPr>
        <w:t xml:space="preserve">015, </w:t>
      </w:r>
      <w:r w:rsidR="00BB4FBF" w:rsidRPr="00A06A65">
        <w:rPr>
          <w:bCs/>
          <w:iCs/>
        </w:rPr>
        <w:t xml:space="preserve">016, 018, </w:t>
      </w:r>
      <w:r w:rsidR="00C543F1" w:rsidRPr="00A06A65">
        <w:rPr>
          <w:bCs/>
          <w:iCs/>
        </w:rPr>
        <w:t xml:space="preserve">044, </w:t>
      </w:r>
      <w:r w:rsidR="005B454C" w:rsidRPr="00A06A65">
        <w:rPr>
          <w:bCs/>
          <w:iCs/>
        </w:rPr>
        <w:t xml:space="preserve">105, </w:t>
      </w:r>
      <w:r w:rsidR="00C543F1" w:rsidRPr="00A06A65">
        <w:rPr>
          <w:bCs/>
          <w:iCs/>
        </w:rPr>
        <w:t xml:space="preserve">106, </w:t>
      </w:r>
      <w:r w:rsidRPr="00A06A65">
        <w:rPr>
          <w:bCs/>
          <w:iCs/>
        </w:rPr>
        <w:t xml:space="preserve">115, 116, 120, 127, and 136 </w:t>
      </w:r>
      <w:r w:rsidR="004A2E0B" w:rsidRPr="00A06A65">
        <w:rPr>
          <w:bCs/>
          <w:iCs/>
        </w:rPr>
        <w:t xml:space="preserve">(if applicable) are to be collected for the entire month </w:t>
      </w:r>
      <w:r w:rsidR="00415C24" w:rsidRPr="00A06A65">
        <w:rPr>
          <w:bCs/>
          <w:iCs/>
        </w:rPr>
        <w:t>of May</w:t>
      </w:r>
      <w:r w:rsidR="008F6ECA" w:rsidRPr="00A06A65">
        <w:rPr>
          <w:bCs/>
          <w:iCs/>
        </w:rPr>
        <w:t xml:space="preserve"> during this pay period</w:t>
      </w:r>
      <w:r w:rsidR="004A2E0B" w:rsidRPr="00A06A65">
        <w:rPr>
          <w:bCs/>
          <w:iCs/>
        </w:rPr>
        <w:t>.</w:t>
      </w:r>
      <w:r w:rsidR="004E5850" w:rsidRPr="00A06A65">
        <w:rPr>
          <w:bCs/>
          <w:iCs/>
        </w:rPr>
        <w:t xml:space="preserve"> </w:t>
      </w:r>
    </w:p>
    <w:p w14:paraId="12A95D09" w14:textId="77777777" w:rsidR="0092220B" w:rsidRPr="00BF41C8" w:rsidRDefault="005452EF" w:rsidP="00A06A65">
      <w:pPr>
        <w:spacing w:line="360" w:lineRule="auto"/>
        <w:rPr>
          <w:bCs/>
          <w:i/>
          <w:iCs/>
        </w:rPr>
      </w:pPr>
      <w:r w:rsidRPr="00BF41C8">
        <w:rPr>
          <w:bCs/>
          <w:i/>
          <w:iCs/>
          <w:u w:val="single"/>
        </w:rPr>
        <w:t>Note</w:t>
      </w:r>
      <w:r w:rsidRPr="00BF41C8">
        <w:rPr>
          <w:bCs/>
          <w:i/>
          <w:iCs/>
        </w:rPr>
        <w:t xml:space="preserve">: </w:t>
      </w:r>
      <w:r w:rsidR="00B71D97" w:rsidRPr="00BF41C8">
        <w:rPr>
          <w:bCs/>
          <w:i/>
          <w:iCs/>
        </w:rPr>
        <w:t xml:space="preserve"> Since </w:t>
      </w:r>
      <w:r w:rsidRPr="00BF41C8">
        <w:rPr>
          <w:bCs/>
          <w:i/>
          <w:iCs/>
        </w:rPr>
        <w:t>deductions 115 and 120 a</w:t>
      </w:r>
      <w:r w:rsidR="00D94A8F">
        <w:rPr>
          <w:bCs/>
          <w:i/>
          <w:iCs/>
        </w:rPr>
        <w:t>pply</w:t>
      </w:r>
      <w:r w:rsidR="00F915D2" w:rsidRPr="00BF41C8">
        <w:rPr>
          <w:bCs/>
          <w:i/>
          <w:iCs/>
        </w:rPr>
        <w:t xml:space="preserve"> to all (VRS and ORP), the Contribution Base amount must be doubled for </w:t>
      </w:r>
      <w:r w:rsidR="00A06A65" w:rsidRPr="00BF41C8">
        <w:rPr>
          <w:bCs/>
          <w:i/>
          <w:iCs/>
          <w:u w:val="single"/>
        </w:rPr>
        <w:t>all</w:t>
      </w:r>
      <w:r w:rsidR="00BF41C8">
        <w:rPr>
          <w:bCs/>
          <w:i/>
          <w:iCs/>
        </w:rPr>
        <w:t xml:space="preserve"> 9-month</w:t>
      </w:r>
      <w:r w:rsidR="00B71D97" w:rsidRPr="00BF41C8">
        <w:rPr>
          <w:bCs/>
          <w:i/>
          <w:iCs/>
        </w:rPr>
        <w:t xml:space="preserve"> 18 pay faculty.</w:t>
      </w:r>
      <w:r w:rsidR="00A06A65" w:rsidRPr="00BF41C8">
        <w:rPr>
          <w:bCs/>
          <w:i/>
          <w:iCs/>
        </w:rPr>
        <w:t xml:space="preserve"> Do </w:t>
      </w:r>
      <w:r w:rsidR="00A06A65" w:rsidRPr="00BF41C8">
        <w:rPr>
          <w:bCs/>
          <w:i/>
          <w:iCs/>
          <w:u w:val="single"/>
        </w:rPr>
        <w:t>not</w:t>
      </w:r>
      <w:r w:rsidR="00A06A65" w:rsidRPr="00BF41C8">
        <w:rPr>
          <w:bCs/>
          <w:i/>
          <w:iCs/>
        </w:rPr>
        <w:t xml:space="preserve"> change the retirement code on HMCU1.</w:t>
      </w:r>
    </w:p>
    <w:p w14:paraId="0662D214" w14:textId="77777777" w:rsidR="004E5850" w:rsidRPr="00BF41C8" w:rsidRDefault="004E5850" w:rsidP="00DC01CA">
      <w:pPr>
        <w:pStyle w:val="ListParagraph"/>
        <w:numPr>
          <w:ilvl w:val="0"/>
          <w:numId w:val="2"/>
        </w:numPr>
        <w:spacing w:line="360" w:lineRule="auto"/>
        <w:rPr>
          <w:bCs/>
          <w:iCs/>
        </w:rPr>
      </w:pPr>
      <w:r w:rsidRPr="00BF41C8">
        <w:rPr>
          <w:bCs/>
          <w:iCs/>
        </w:rPr>
        <w:t>Deduction overrides are not required.</w:t>
      </w:r>
    </w:p>
    <w:p w14:paraId="1821F866" w14:textId="77777777" w:rsidR="004E5850" w:rsidRPr="00BF41C8" w:rsidRDefault="004E5850" w:rsidP="00DC01CA">
      <w:pPr>
        <w:pStyle w:val="ListParagraph"/>
        <w:numPr>
          <w:ilvl w:val="0"/>
          <w:numId w:val="2"/>
        </w:numPr>
        <w:spacing w:line="360" w:lineRule="auto"/>
        <w:rPr>
          <w:bCs/>
          <w:iCs/>
        </w:rPr>
      </w:pPr>
      <w:r w:rsidRPr="00BF41C8">
        <w:rPr>
          <w:bCs/>
          <w:iCs/>
        </w:rPr>
        <w:t>Process special pay 099 (Contribution Base) on</w:t>
      </w:r>
      <w:r w:rsidR="00D94A8F">
        <w:rPr>
          <w:bCs/>
          <w:iCs/>
        </w:rPr>
        <w:t>-</w:t>
      </w:r>
      <w:r w:rsidRPr="00BF41C8">
        <w:rPr>
          <w:bCs/>
          <w:iCs/>
        </w:rPr>
        <w:t>screen HUE01:</w:t>
      </w:r>
    </w:p>
    <w:p w14:paraId="6A431E32" w14:textId="77777777" w:rsidR="004E5850" w:rsidRPr="00A06A65" w:rsidRDefault="00A06A65" w:rsidP="00DC01CA">
      <w:pPr>
        <w:pStyle w:val="ListParagraph"/>
        <w:numPr>
          <w:ilvl w:val="0"/>
          <w:numId w:val="1"/>
        </w:numPr>
        <w:spacing w:line="360" w:lineRule="auto"/>
        <w:rPr>
          <w:bCs/>
          <w:iCs/>
        </w:rPr>
      </w:pPr>
      <w:r>
        <w:rPr>
          <w:bCs/>
          <w:iCs/>
        </w:rPr>
        <w:t>Look up Special P</w:t>
      </w:r>
      <w:r w:rsidR="004E5850" w:rsidRPr="00A06A65">
        <w:rPr>
          <w:bCs/>
          <w:iCs/>
        </w:rPr>
        <w:t xml:space="preserve">ay 099 on </w:t>
      </w:r>
      <w:r>
        <w:rPr>
          <w:bCs/>
          <w:iCs/>
        </w:rPr>
        <w:t>CIPPS screen H10AS.</w:t>
      </w:r>
      <w:r>
        <w:rPr>
          <w:bCs/>
          <w:iCs/>
        </w:rPr>
        <w:br/>
        <w:t>(H10AS Amount = $2,500.00)</w:t>
      </w:r>
    </w:p>
    <w:p w14:paraId="2BEA4666" w14:textId="77777777" w:rsidR="004E5850" w:rsidRPr="00A06A65" w:rsidRDefault="00A06A65" w:rsidP="00DC01CA">
      <w:pPr>
        <w:pStyle w:val="ListParagraph"/>
        <w:numPr>
          <w:ilvl w:val="0"/>
          <w:numId w:val="1"/>
        </w:numPr>
        <w:spacing w:line="360" w:lineRule="auto"/>
        <w:rPr>
          <w:bCs/>
          <w:iCs/>
        </w:rPr>
      </w:pPr>
      <w:r>
        <w:rPr>
          <w:bCs/>
          <w:iCs/>
        </w:rPr>
        <w:t>Multipl</w:t>
      </w:r>
      <w:r w:rsidR="00D94A8F">
        <w:rPr>
          <w:bCs/>
          <w:iCs/>
        </w:rPr>
        <w:t>y</w:t>
      </w:r>
      <w:r>
        <w:rPr>
          <w:bCs/>
          <w:iCs/>
        </w:rPr>
        <w:t xml:space="preserve"> the amount on H10AS by 2.</w:t>
      </w:r>
      <w:r>
        <w:rPr>
          <w:bCs/>
          <w:iCs/>
        </w:rPr>
        <w:br/>
        <w:t>(2500*2 = $5,000.00)</w:t>
      </w:r>
    </w:p>
    <w:p w14:paraId="559B6F8D" w14:textId="77777777" w:rsidR="004E5850" w:rsidRPr="00A06A65" w:rsidRDefault="004E5850" w:rsidP="00DC01CA">
      <w:pPr>
        <w:pStyle w:val="ListParagraph"/>
        <w:numPr>
          <w:ilvl w:val="0"/>
          <w:numId w:val="1"/>
        </w:numPr>
        <w:spacing w:line="360" w:lineRule="auto"/>
        <w:rPr>
          <w:bCs/>
          <w:iCs/>
        </w:rPr>
      </w:pPr>
      <w:r w:rsidRPr="00A06A65">
        <w:rPr>
          <w:bCs/>
          <w:iCs/>
        </w:rPr>
        <w:t xml:space="preserve">Key </w:t>
      </w:r>
      <w:r w:rsidR="00A06A65">
        <w:rPr>
          <w:bCs/>
          <w:iCs/>
        </w:rPr>
        <w:t xml:space="preserve">the amount in step 2 on HUE01 with “0” for all indicators, </w:t>
      </w:r>
      <w:r w:rsidR="009E5B8B">
        <w:rPr>
          <w:bCs/>
          <w:iCs/>
        </w:rPr>
        <w:t>ADJ as blank,</w:t>
      </w:r>
      <w:r w:rsidR="00A06A65">
        <w:rPr>
          <w:bCs/>
          <w:iCs/>
        </w:rPr>
        <w:t xml:space="preserve"> and </w:t>
      </w:r>
      <w:r w:rsidR="009E5B8B">
        <w:rPr>
          <w:bCs/>
          <w:iCs/>
        </w:rPr>
        <w:t>AMT as “1”</w:t>
      </w:r>
    </w:p>
    <w:p w14:paraId="47134C6A" w14:textId="77777777" w:rsidR="006A139E" w:rsidRDefault="006A139E">
      <w:pPr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4A675054" w14:textId="77777777" w:rsidR="006F383B" w:rsidRDefault="009E5B8B" w:rsidP="00A06A6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lastRenderedPageBreak/>
        <w:t>Health Care</w:t>
      </w:r>
      <w:r w:rsidR="006F383B">
        <w:rPr>
          <w:b/>
          <w:bCs/>
          <w:i/>
          <w:iCs/>
        </w:rPr>
        <w:t>:</w:t>
      </w:r>
    </w:p>
    <w:p w14:paraId="78818DD7" w14:textId="77777777" w:rsidR="009E5B8B" w:rsidRPr="006A139E" w:rsidRDefault="006F383B" w:rsidP="00DC01CA">
      <w:pPr>
        <w:numPr>
          <w:ilvl w:val="0"/>
          <w:numId w:val="3"/>
        </w:numPr>
        <w:spacing w:line="360" w:lineRule="auto"/>
        <w:rPr>
          <w:b/>
          <w:bCs/>
        </w:rPr>
      </w:pPr>
      <w:r w:rsidRPr="006A139E">
        <w:rPr>
          <w:bCs/>
        </w:rPr>
        <w:t xml:space="preserve">For employees </w:t>
      </w:r>
      <w:r w:rsidRPr="006A139E">
        <w:rPr>
          <w:bCs/>
          <w:u w:val="single"/>
        </w:rPr>
        <w:t>working</w:t>
      </w:r>
      <w:r w:rsidRPr="006A139E">
        <w:rPr>
          <w:bCs/>
        </w:rPr>
        <w:t xml:space="preserve"> during the summer months:</w:t>
      </w:r>
      <w:r w:rsidRPr="006A139E">
        <w:t xml:space="preserve"> </w:t>
      </w:r>
    </w:p>
    <w:p w14:paraId="1D2B5D74" w14:textId="77777777" w:rsidR="00F27E3B" w:rsidRDefault="006F383B" w:rsidP="00DC01CA">
      <w:pPr>
        <w:numPr>
          <w:ilvl w:val="1"/>
          <w:numId w:val="9"/>
        </w:numPr>
        <w:spacing w:line="360" w:lineRule="auto"/>
      </w:pPr>
      <w:r>
        <w:t>Single deduction.</w:t>
      </w:r>
    </w:p>
    <w:p w14:paraId="23ACF7CB" w14:textId="77777777" w:rsidR="009E5B8B" w:rsidRPr="006A139E" w:rsidRDefault="006F383B" w:rsidP="00DC01CA">
      <w:pPr>
        <w:numPr>
          <w:ilvl w:val="0"/>
          <w:numId w:val="3"/>
        </w:numPr>
        <w:spacing w:line="360" w:lineRule="auto"/>
        <w:rPr>
          <w:color w:val="000000"/>
        </w:rPr>
      </w:pPr>
      <w:r w:rsidRPr="006A139E">
        <w:rPr>
          <w:bCs/>
        </w:rPr>
        <w:t xml:space="preserve">For employees who are </w:t>
      </w:r>
      <w:r w:rsidRPr="006A139E">
        <w:rPr>
          <w:bCs/>
          <w:u w:val="single"/>
        </w:rPr>
        <w:t>not working</w:t>
      </w:r>
      <w:r w:rsidRPr="006A139E">
        <w:rPr>
          <w:bCs/>
        </w:rPr>
        <w:t xml:space="preserve"> during the summer months:</w:t>
      </w:r>
      <w:r w:rsidRPr="006A139E">
        <w:t xml:space="preserve"> </w:t>
      </w:r>
    </w:p>
    <w:p w14:paraId="3DAAF99E" w14:textId="18AA2E11" w:rsidR="009E5B8B" w:rsidRDefault="006F383B" w:rsidP="00DC01CA">
      <w:pPr>
        <w:numPr>
          <w:ilvl w:val="1"/>
          <w:numId w:val="10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four (4) semi-monthly deductions </w:t>
      </w:r>
      <w:r w:rsidR="009E5B8B">
        <w:rPr>
          <w:color w:val="000000"/>
        </w:rPr>
        <w:t xml:space="preserve">for </w:t>
      </w:r>
      <w:r w:rsidR="009E5B8B"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 w:rsidR="004742BC">
        <w:rPr>
          <w:color w:val="000000"/>
        </w:rPr>
        <w:t>024) for the period</w:t>
      </w:r>
      <w:r w:rsidR="009E5B8B">
        <w:rPr>
          <w:color w:val="000000"/>
        </w:rPr>
        <w:t>s</w:t>
      </w:r>
      <w:r w:rsidR="00D94A8F">
        <w:rPr>
          <w:color w:val="000000"/>
        </w:rPr>
        <w:t>'</w:t>
      </w:r>
      <w:r w:rsidR="004742BC">
        <w:rPr>
          <w:color w:val="000000"/>
        </w:rPr>
        <w:t xml:space="preserve"> May 1, </w:t>
      </w:r>
      <w:r w:rsidR="00AA1D6F">
        <w:rPr>
          <w:color w:val="000000"/>
        </w:rPr>
        <w:t>202</w:t>
      </w:r>
      <w:r w:rsidR="00F01F8A">
        <w:rPr>
          <w:color w:val="000000"/>
        </w:rPr>
        <w:t>1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through June 30, </w:t>
      </w:r>
      <w:r w:rsidR="00AA1D6F">
        <w:rPr>
          <w:color w:val="000000"/>
        </w:rPr>
        <w:t>202</w:t>
      </w:r>
      <w:r w:rsidR="00F01F8A">
        <w:rPr>
          <w:color w:val="000000"/>
        </w:rPr>
        <w:t>1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using HUD01</w:t>
      </w:r>
      <w:r w:rsidR="009E5B8B">
        <w:rPr>
          <w:color w:val="000000"/>
        </w:rPr>
        <w:t>.</w:t>
      </w:r>
      <w:r w:rsidR="006A139E">
        <w:rPr>
          <w:color w:val="000000"/>
        </w:rPr>
        <w:t xml:space="preserve">  This is 3 additional deductions along with the normal deduction.</w:t>
      </w:r>
    </w:p>
    <w:p w14:paraId="6336F831" w14:textId="77777777" w:rsidR="006F383B" w:rsidRDefault="006F383B" w:rsidP="00DC01CA">
      <w:pPr>
        <w:numPr>
          <w:ilvl w:val="1"/>
          <w:numId w:val="10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one (1) semi-monthly deduction </w:t>
      </w:r>
      <w:r w:rsidR="009E5B8B">
        <w:rPr>
          <w:color w:val="000000"/>
        </w:rPr>
        <w:t xml:space="preserve">for </w:t>
      </w:r>
      <w:r w:rsidR="009E5B8B" w:rsidRPr="009E5B8B">
        <w:rPr>
          <w:color w:val="000000"/>
        </w:rPr>
        <w:t xml:space="preserve">AGY HLTH </w:t>
      </w:r>
      <w:r w:rsidRPr="009F50F7">
        <w:rPr>
          <w:color w:val="000000"/>
        </w:rPr>
        <w:t xml:space="preserve">(deduction </w:t>
      </w:r>
      <w:r w:rsidR="004742BC">
        <w:rPr>
          <w:color w:val="000000"/>
        </w:rPr>
        <w:t>0</w:t>
      </w:r>
      <w:r w:rsidRPr="009F50F7">
        <w:rPr>
          <w:color w:val="000000"/>
        </w:rPr>
        <w:t>26).</w:t>
      </w:r>
      <w:r w:rsidR="009E5B8B">
        <w:rPr>
          <w:color w:val="000000"/>
        </w:rPr>
        <w:t xml:space="preserve"> No override required.</w:t>
      </w:r>
    </w:p>
    <w:p w14:paraId="4EDC48D1" w14:textId="77777777" w:rsidR="00DC01CA" w:rsidRDefault="00DC01CA" w:rsidP="00DC01CA">
      <w:pPr>
        <w:spacing w:line="360" w:lineRule="auto"/>
        <w:rPr>
          <w:color w:val="000000"/>
        </w:rPr>
      </w:pPr>
    </w:p>
    <w:p w14:paraId="73E24BAB" w14:textId="77777777" w:rsidR="00F27E3B" w:rsidRPr="009E5B8B" w:rsidRDefault="00F27E3B" w:rsidP="00F27E3B">
      <w:pPr>
        <w:spacing w:line="360" w:lineRule="auto"/>
        <w:rPr>
          <w:b/>
          <w:bCs/>
          <w:iCs/>
        </w:rPr>
      </w:pPr>
      <w:r w:rsidRPr="009E5B8B">
        <w:rPr>
          <w:b/>
          <w:bCs/>
          <w:iCs/>
        </w:rPr>
        <w:t>Flexible Reimbursement Accounts:</w:t>
      </w:r>
    </w:p>
    <w:p w14:paraId="4B7DE5D8" w14:textId="77777777" w:rsidR="00DC01CA" w:rsidRDefault="00F27E3B" w:rsidP="00DC01CA">
      <w:pPr>
        <w:numPr>
          <w:ilvl w:val="0"/>
          <w:numId w:val="4"/>
        </w:numPr>
        <w:spacing w:line="360" w:lineRule="auto"/>
        <w:rPr>
          <w:b/>
          <w:bCs/>
        </w:rPr>
      </w:pPr>
      <w:r>
        <w:t>Single Deduction</w:t>
      </w:r>
    </w:p>
    <w:p w14:paraId="37E759B9" w14:textId="77777777" w:rsidR="00DC01CA" w:rsidRPr="00DC01CA" w:rsidRDefault="00DC01CA" w:rsidP="00DC01CA">
      <w:pPr>
        <w:spacing w:line="360" w:lineRule="auto"/>
        <w:ind w:left="360"/>
        <w:rPr>
          <w:b/>
          <w:bCs/>
        </w:rPr>
      </w:pPr>
    </w:p>
    <w:p w14:paraId="4169E845" w14:textId="77777777" w:rsidR="004967EB" w:rsidRPr="009E5B8B" w:rsidRDefault="009E5B8B" w:rsidP="00A06A65">
      <w:pPr>
        <w:spacing w:line="360" w:lineRule="auto"/>
        <w:rPr>
          <w:b/>
          <w:bCs/>
        </w:rPr>
      </w:pPr>
      <w:r>
        <w:rPr>
          <w:b/>
          <w:bCs/>
        </w:rPr>
        <w:t>Group Life Insurance:</w:t>
      </w:r>
    </w:p>
    <w:p w14:paraId="170085A5" w14:textId="77777777" w:rsidR="0083014C" w:rsidRPr="00DC01CA" w:rsidRDefault="005452EF" w:rsidP="00DC01CA">
      <w:pPr>
        <w:pStyle w:val="ListParagraph"/>
        <w:numPr>
          <w:ilvl w:val="0"/>
          <w:numId w:val="4"/>
        </w:numPr>
        <w:spacing w:line="360" w:lineRule="auto"/>
        <w:rPr>
          <w:bCs/>
          <w:u w:val="single"/>
        </w:rPr>
      </w:pPr>
      <w:r w:rsidRPr="00BA3805">
        <w:t xml:space="preserve">Deduction 120 will be doubled </w:t>
      </w:r>
      <w:r w:rsidR="009E5B8B" w:rsidRPr="00BA3805">
        <w:t xml:space="preserve">along with all other VRS related deductions from the </w:t>
      </w:r>
      <w:r w:rsidRPr="00BA3805">
        <w:t>HUE01</w:t>
      </w:r>
      <w:r w:rsidR="009E5B8B" w:rsidRPr="00BA3805">
        <w:t xml:space="preserve"> entry</w:t>
      </w:r>
      <w:r w:rsidR="006A139E" w:rsidRPr="00BA3805">
        <w:t xml:space="preserve"> to increase CONTBASE</w:t>
      </w:r>
      <w:r w:rsidR="006A139E" w:rsidRPr="00BA3805">
        <w:rPr>
          <w:color w:val="000000"/>
        </w:rPr>
        <w:t>.</w:t>
      </w:r>
    </w:p>
    <w:p w14:paraId="0A13D7F9" w14:textId="77777777" w:rsidR="00DC01CA" w:rsidRPr="00BA3805" w:rsidRDefault="00DC01CA" w:rsidP="00DC01CA">
      <w:pPr>
        <w:pStyle w:val="ListParagraph"/>
        <w:spacing w:line="360" w:lineRule="auto"/>
        <w:ind w:left="360"/>
        <w:rPr>
          <w:bCs/>
          <w:u w:val="single"/>
        </w:rPr>
      </w:pPr>
    </w:p>
    <w:p w14:paraId="36511472" w14:textId="77777777" w:rsidR="005B454C" w:rsidRDefault="009E5B8B" w:rsidP="00A06A6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Optional Life Insurance</w:t>
      </w:r>
      <w:r w:rsidR="006F383B">
        <w:rPr>
          <w:b/>
          <w:bCs/>
          <w:i/>
          <w:iCs/>
        </w:rPr>
        <w:t>:</w:t>
      </w:r>
    </w:p>
    <w:p w14:paraId="5F8A1A9A" w14:textId="5568DDDF" w:rsidR="006F383B" w:rsidRPr="00DC01CA" w:rsidRDefault="006F383B" w:rsidP="00DC01CA">
      <w:pPr>
        <w:pStyle w:val="ListParagraph"/>
        <w:numPr>
          <w:ilvl w:val="0"/>
          <w:numId w:val="5"/>
        </w:numPr>
        <w:spacing w:line="360" w:lineRule="auto"/>
        <w:rPr>
          <w:i/>
        </w:rPr>
      </w:pPr>
      <w:r w:rsidRPr="005B454C">
        <w:rPr>
          <w:color w:val="000000"/>
        </w:rPr>
        <w:t xml:space="preserve">Take two (2) semi-monthly deductions </w:t>
      </w:r>
      <w:r w:rsidR="009E5B8B">
        <w:rPr>
          <w:color w:val="000000"/>
        </w:rPr>
        <w:t>(</w:t>
      </w:r>
      <w:r w:rsidRPr="005B454C">
        <w:rPr>
          <w:color w:val="000000"/>
        </w:rPr>
        <w:t xml:space="preserve">deduction </w:t>
      </w:r>
      <w:r w:rsidR="004742BC" w:rsidRPr="005B454C">
        <w:rPr>
          <w:color w:val="000000"/>
        </w:rPr>
        <w:t>0</w:t>
      </w:r>
      <w:r w:rsidRPr="005B454C">
        <w:rPr>
          <w:color w:val="000000"/>
        </w:rPr>
        <w:t>35) for the period</w:t>
      </w:r>
      <w:r w:rsidR="009E5B8B">
        <w:rPr>
          <w:color w:val="000000"/>
        </w:rPr>
        <w:t>s</w:t>
      </w:r>
      <w:r w:rsidR="00D94A8F">
        <w:rPr>
          <w:color w:val="000000"/>
        </w:rPr>
        <w:t>'</w:t>
      </w:r>
      <w:r w:rsidRPr="005B454C">
        <w:rPr>
          <w:color w:val="000000"/>
        </w:rPr>
        <w:t xml:space="preserve"> Ma</w:t>
      </w:r>
      <w:r w:rsidR="009F50F7" w:rsidRPr="005B454C">
        <w:rPr>
          <w:color w:val="000000"/>
        </w:rPr>
        <w:t xml:space="preserve">y 1, </w:t>
      </w:r>
      <w:r w:rsidR="00AA1D6F">
        <w:rPr>
          <w:color w:val="000000"/>
        </w:rPr>
        <w:t>202</w:t>
      </w:r>
      <w:r w:rsidR="00F01F8A">
        <w:rPr>
          <w:color w:val="000000"/>
        </w:rPr>
        <w:t>1</w:t>
      </w:r>
      <w:r w:rsidR="00D94A8F">
        <w:rPr>
          <w:color w:val="000000"/>
        </w:rPr>
        <w:t>,</w:t>
      </w:r>
      <w:r w:rsidR="007651FD" w:rsidRPr="005B454C">
        <w:rPr>
          <w:color w:val="000000"/>
        </w:rPr>
        <w:t xml:space="preserve"> through May 31, </w:t>
      </w:r>
      <w:r w:rsidR="00AA1D6F">
        <w:rPr>
          <w:color w:val="000000"/>
        </w:rPr>
        <w:t>202</w:t>
      </w:r>
      <w:r w:rsidR="00F01F8A">
        <w:rPr>
          <w:color w:val="000000"/>
        </w:rPr>
        <w:t>1</w:t>
      </w:r>
      <w:r w:rsidR="00D94A8F">
        <w:rPr>
          <w:color w:val="000000"/>
        </w:rPr>
        <w:t>,</w:t>
      </w:r>
      <w:r w:rsidRPr="005B454C">
        <w:rPr>
          <w:color w:val="000000"/>
        </w:rPr>
        <w:t xml:space="preserve"> using HUD01. </w:t>
      </w:r>
      <w:r w:rsidRPr="00BA3805">
        <w:rPr>
          <w:bCs/>
          <w:i/>
          <w:iCs/>
          <w:u w:val="single"/>
        </w:rPr>
        <w:t>Note</w:t>
      </w:r>
      <w:r w:rsidRPr="00BA3805">
        <w:rPr>
          <w:bCs/>
          <w:i/>
          <w:iCs/>
        </w:rPr>
        <w:t>: Optional Life Insurance premiums are not deducted from summer faculty wage</w:t>
      </w:r>
      <w:r w:rsidR="00D94A8F">
        <w:rPr>
          <w:bCs/>
          <w:i/>
          <w:iCs/>
        </w:rPr>
        <w:t>s</w:t>
      </w:r>
      <w:r w:rsidR="004967EB" w:rsidRPr="00BA3805">
        <w:rPr>
          <w:bCs/>
          <w:i/>
          <w:iCs/>
        </w:rPr>
        <w:t>.</w:t>
      </w:r>
    </w:p>
    <w:p w14:paraId="502B60D5" w14:textId="77777777" w:rsidR="00DC01CA" w:rsidRPr="00BA3805" w:rsidRDefault="00DC01CA" w:rsidP="00DC01CA">
      <w:pPr>
        <w:pStyle w:val="ListParagraph"/>
        <w:spacing w:line="360" w:lineRule="auto"/>
        <w:ind w:left="360"/>
        <w:rPr>
          <w:i/>
        </w:rPr>
      </w:pPr>
    </w:p>
    <w:p w14:paraId="2B2EB1E2" w14:textId="77777777" w:rsidR="004967EB" w:rsidRPr="009E5B8B" w:rsidRDefault="009E5B8B" w:rsidP="00A06A65">
      <w:pPr>
        <w:spacing w:line="360" w:lineRule="auto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Imputed Life:</w:t>
      </w:r>
    </w:p>
    <w:p w14:paraId="396AF129" w14:textId="77777777" w:rsidR="004967EB" w:rsidRPr="00DC01CA" w:rsidRDefault="007A01B2" w:rsidP="00DC01CA">
      <w:pPr>
        <w:numPr>
          <w:ilvl w:val="0"/>
          <w:numId w:val="6"/>
        </w:numPr>
        <w:spacing w:line="360" w:lineRule="auto"/>
      </w:pPr>
      <w:r w:rsidRPr="003B5E44">
        <w:t>I</w:t>
      </w:r>
      <w:r w:rsidR="00475A39" w:rsidRPr="003B5E44">
        <w:t>mputed life</w:t>
      </w:r>
      <w:r w:rsidR="00331B99" w:rsidRPr="003B5E44">
        <w:t xml:space="preserve"> calculate</w:t>
      </w:r>
      <w:r w:rsidR="00475A39" w:rsidRPr="003B5E44">
        <w:t xml:space="preserve">s the first </w:t>
      </w:r>
      <w:r w:rsidR="00331B99" w:rsidRPr="003B5E44">
        <w:t>pay period</w:t>
      </w:r>
      <w:r w:rsidR="00475A39" w:rsidRPr="003B5E44">
        <w:t xml:space="preserve"> of the month</w:t>
      </w:r>
      <w:r w:rsidR="00F37226" w:rsidRPr="003B5E44">
        <w:t xml:space="preserve"> for the entire month</w:t>
      </w:r>
      <w:r w:rsidR="00475A39" w:rsidRPr="003B5E44">
        <w:t>.</w:t>
      </w:r>
      <w:r w:rsidR="00475A39" w:rsidRPr="00475A39">
        <w:t xml:space="preserve"> </w:t>
      </w:r>
      <w:r w:rsidR="00475A39" w:rsidRPr="00475A39">
        <w:rPr>
          <w:b/>
          <w:u w:val="single"/>
        </w:rPr>
        <w:t>An override is not required</w:t>
      </w:r>
      <w:r w:rsidR="00475A39">
        <w:rPr>
          <w:b/>
          <w:u w:val="single"/>
        </w:rPr>
        <w:t>.</w:t>
      </w:r>
    </w:p>
    <w:p w14:paraId="56B2855D" w14:textId="77777777" w:rsidR="00DC01CA" w:rsidRPr="00475A39" w:rsidRDefault="00DC01CA" w:rsidP="00DC01CA">
      <w:pPr>
        <w:spacing w:line="360" w:lineRule="auto"/>
        <w:ind w:left="360"/>
      </w:pPr>
    </w:p>
    <w:p w14:paraId="19B327F7" w14:textId="77777777" w:rsidR="00E230F2" w:rsidRDefault="00E230F2" w:rsidP="00A06A65">
      <w:pPr>
        <w:pStyle w:val="Heading2"/>
        <w:spacing w:line="360" w:lineRule="auto"/>
        <w:ind w:left="0"/>
        <w:rPr>
          <w:i w:val="0"/>
        </w:rPr>
      </w:pPr>
    </w:p>
    <w:p w14:paraId="0910E6C8" w14:textId="77777777" w:rsidR="006F383B" w:rsidRPr="00D131F5" w:rsidRDefault="0063358F" w:rsidP="00A06A65">
      <w:pPr>
        <w:pStyle w:val="Heading2"/>
        <w:spacing w:line="360" w:lineRule="auto"/>
        <w:ind w:left="0"/>
        <w:rPr>
          <w:i w:val="0"/>
        </w:rPr>
      </w:pPr>
      <w:r w:rsidRPr="00D131F5">
        <w:rPr>
          <w:i w:val="0"/>
        </w:rPr>
        <w:t>VRS</w:t>
      </w:r>
      <w:r w:rsidR="006F383B" w:rsidRPr="00D131F5">
        <w:rPr>
          <w:i w:val="0"/>
        </w:rPr>
        <w:t xml:space="preserve"> </w:t>
      </w:r>
      <w:r w:rsidR="00D131F5">
        <w:rPr>
          <w:i w:val="0"/>
        </w:rPr>
        <w:t>Buy Back:</w:t>
      </w:r>
    </w:p>
    <w:p w14:paraId="68723509" w14:textId="77777777" w:rsidR="00DC01CA" w:rsidRPr="00E230F2" w:rsidRDefault="00703BAD" w:rsidP="00D3495D">
      <w:pPr>
        <w:pStyle w:val="ListParagraph"/>
        <w:numPr>
          <w:ilvl w:val="0"/>
          <w:numId w:val="7"/>
        </w:numPr>
        <w:spacing w:line="360" w:lineRule="auto"/>
        <w:rPr>
          <w:bCs/>
          <w:i/>
          <w:iCs/>
        </w:rPr>
      </w:pPr>
      <w:r w:rsidRPr="00D131F5">
        <w:t>Process deduction overrides</w:t>
      </w:r>
      <w:r w:rsidR="005B454C" w:rsidRPr="00D131F5">
        <w:t xml:space="preserve"> (two semi-monthly deductions)</w:t>
      </w:r>
      <w:r w:rsidRPr="00D131F5">
        <w:t xml:space="preserve"> for individuals with VRS Buyback deduction</w:t>
      </w:r>
      <w:r w:rsidR="00C543F1" w:rsidRPr="00D131F5">
        <w:t xml:space="preserve">s </w:t>
      </w:r>
      <w:r w:rsidR="0063358F" w:rsidRPr="00D131F5">
        <w:t>018</w:t>
      </w:r>
      <w:r w:rsidR="00C543F1" w:rsidRPr="00D131F5">
        <w:t xml:space="preserve"> and 044</w:t>
      </w:r>
      <w:r w:rsidR="00D131F5">
        <w:t xml:space="preserve"> on HUD01</w:t>
      </w:r>
      <w:r w:rsidR="00C543F1" w:rsidRPr="00D131F5">
        <w:t>.</w:t>
      </w:r>
    </w:p>
    <w:p w14:paraId="006984D2" w14:textId="77777777" w:rsidR="00E230F2" w:rsidRPr="00E230F2" w:rsidRDefault="00E230F2" w:rsidP="00E230F2">
      <w:pPr>
        <w:pStyle w:val="ListParagraph"/>
        <w:spacing w:line="360" w:lineRule="auto"/>
        <w:ind w:left="360"/>
        <w:rPr>
          <w:bCs/>
          <w:i/>
          <w:iCs/>
        </w:rPr>
      </w:pPr>
    </w:p>
    <w:p w14:paraId="6B192B00" w14:textId="77777777" w:rsidR="006F383B" w:rsidRPr="006A139E" w:rsidRDefault="006F383B" w:rsidP="00A06A65">
      <w:pPr>
        <w:spacing w:line="360" w:lineRule="auto"/>
        <w:rPr>
          <w:b/>
          <w:bCs/>
          <w:iCs/>
        </w:rPr>
      </w:pPr>
      <w:r w:rsidRPr="00D131F5">
        <w:rPr>
          <w:b/>
          <w:bCs/>
          <w:iCs/>
        </w:rPr>
        <w:t>UNUM</w:t>
      </w:r>
      <w:r w:rsidRPr="006A139E">
        <w:rPr>
          <w:b/>
          <w:bCs/>
          <w:iCs/>
        </w:rPr>
        <w:t>:</w:t>
      </w:r>
    </w:p>
    <w:p w14:paraId="3F93A07A" w14:textId="77777777" w:rsidR="00BA3805" w:rsidRPr="00BA3805" w:rsidRDefault="00D131F5" w:rsidP="00DC01CA">
      <w:pPr>
        <w:numPr>
          <w:ilvl w:val="0"/>
          <w:numId w:val="8"/>
        </w:numPr>
        <w:spacing w:line="360" w:lineRule="auto"/>
        <w:rPr>
          <w:b/>
          <w:bCs/>
        </w:rPr>
      </w:pPr>
      <w:r>
        <w:t>Single deduction.</w:t>
      </w:r>
      <w:r w:rsidR="00BA3805">
        <w:t xml:space="preserve"> (Normal deductions should be taken for employees who are working).</w:t>
      </w:r>
    </w:p>
    <w:p w14:paraId="1D804BC1" w14:textId="77777777" w:rsidR="00D131F5" w:rsidRDefault="00BA3805" w:rsidP="00DC01CA">
      <w:pPr>
        <w:numPr>
          <w:ilvl w:val="0"/>
          <w:numId w:val="8"/>
        </w:numPr>
        <w:spacing w:line="360" w:lineRule="auto"/>
        <w:rPr>
          <w:b/>
          <w:bCs/>
        </w:rPr>
      </w:pPr>
      <w:r>
        <w:t>For employees not working the summer months, if the premium was calculated to be deducted over 18 pay periods, take one (1) semi-monthly deduction.</w:t>
      </w:r>
    </w:p>
    <w:p w14:paraId="5DE6E003" w14:textId="77777777" w:rsidR="006F383B" w:rsidRPr="00BA3805" w:rsidRDefault="006F383B" w:rsidP="00BA3805">
      <w:pPr>
        <w:pStyle w:val="BodyTextIndent"/>
        <w:spacing w:line="360" w:lineRule="auto"/>
      </w:pPr>
      <w:r w:rsidRPr="00BA3805">
        <w:rPr>
          <w:u w:val="single"/>
        </w:rPr>
        <w:lastRenderedPageBreak/>
        <w:t>Note</w:t>
      </w:r>
      <w:r w:rsidRPr="00BA3805">
        <w:t>: When calculating the semi-monthly pre</w:t>
      </w:r>
      <w:r w:rsidR="00D94A8F">
        <w:t>mium, the formula is: Annual (9-</w:t>
      </w:r>
      <w:r w:rsidRPr="00BA3805">
        <w:t>month) salary rate/100 x rate /18.</w:t>
      </w:r>
    </w:p>
    <w:p w14:paraId="7D2CB611" w14:textId="77777777" w:rsidR="006F383B" w:rsidRPr="009928A5" w:rsidRDefault="006F383B" w:rsidP="009928A5">
      <w:pPr>
        <w:rPr>
          <w:i/>
          <w:iCs/>
          <w:sz w:val="16"/>
          <w:szCs w:val="16"/>
        </w:rPr>
      </w:pPr>
    </w:p>
    <w:p w14:paraId="3751A85B" w14:textId="70FF5584" w:rsidR="005B454C" w:rsidRDefault="00315A00" w:rsidP="00046656">
      <w:pPr>
        <w:spacing w:line="360" w:lineRule="auto"/>
        <w:rPr>
          <w:bCs/>
        </w:rPr>
      </w:pPr>
      <w:r w:rsidRPr="00C71F03">
        <w:rPr>
          <w:bCs/>
        </w:rPr>
        <w:t xml:space="preserve">As a reminder, VRS related deductions are not withheld during the summer contract period (May </w:t>
      </w:r>
      <w:r>
        <w:rPr>
          <w:bCs/>
        </w:rPr>
        <w:t>16</w:t>
      </w:r>
      <w:r w:rsidRPr="00C71F03">
        <w:rPr>
          <w:bCs/>
        </w:rPr>
        <w:t xml:space="preserve">, </w:t>
      </w:r>
      <w:r w:rsidR="00AA1D6F">
        <w:rPr>
          <w:bCs/>
        </w:rPr>
        <w:t>202</w:t>
      </w:r>
      <w:r w:rsidR="00F01F8A">
        <w:rPr>
          <w:bCs/>
        </w:rPr>
        <w:t>1</w:t>
      </w:r>
      <w:r w:rsidRPr="00C71F03">
        <w:rPr>
          <w:bCs/>
        </w:rPr>
        <w:t xml:space="preserve"> - August </w:t>
      </w:r>
      <w:r>
        <w:rPr>
          <w:bCs/>
        </w:rPr>
        <w:t>15</w:t>
      </w:r>
      <w:r w:rsidRPr="00C71F03">
        <w:rPr>
          <w:bCs/>
        </w:rPr>
        <w:t xml:space="preserve">, </w:t>
      </w:r>
      <w:r w:rsidR="00AA1D6F">
        <w:rPr>
          <w:bCs/>
        </w:rPr>
        <w:t>202</w:t>
      </w:r>
      <w:r w:rsidR="00F01F8A">
        <w:rPr>
          <w:bCs/>
        </w:rPr>
        <w:t>1</w:t>
      </w:r>
      <w:r w:rsidRPr="00C71F03">
        <w:rPr>
          <w:bCs/>
        </w:rPr>
        <w:t>).</w:t>
      </w:r>
      <w:r>
        <w:rPr>
          <w:bCs/>
        </w:rPr>
        <w:t xml:space="preserve"> </w:t>
      </w:r>
      <w:r w:rsidRPr="00C71F03">
        <w:rPr>
          <w:bCs/>
        </w:rPr>
        <w:t xml:space="preserve">The </w:t>
      </w:r>
      <w:r>
        <w:rPr>
          <w:bCs/>
        </w:rPr>
        <w:t>Shared Services Center</w:t>
      </w:r>
      <w:r w:rsidRPr="00C71F03">
        <w:rPr>
          <w:bCs/>
        </w:rPr>
        <w:t xml:space="preserve"> will request that the Department of Accounts</w:t>
      </w:r>
      <w:r w:rsidR="00FB774D">
        <w:rPr>
          <w:bCs/>
        </w:rPr>
        <w:t xml:space="preserve"> (DOA) </w:t>
      </w:r>
      <w:r w:rsidRPr="00C71F03">
        <w:rPr>
          <w:bCs/>
        </w:rPr>
        <w:t xml:space="preserve">process a mass transaction to </w:t>
      </w:r>
      <w:r w:rsidR="001C003E">
        <w:rPr>
          <w:bCs/>
        </w:rPr>
        <w:t>change</w:t>
      </w:r>
      <w:r>
        <w:rPr>
          <w:bCs/>
        </w:rPr>
        <w:t xml:space="preserve"> the auto-pay status and change </w:t>
      </w:r>
      <w:r w:rsidRPr="00C71F03">
        <w:rPr>
          <w:bCs/>
        </w:rPr>
        <w:t>the start</w:t>
      </w:r>
      <w:r>
        <w:rPr>
          <w:bCs/>
        </w:rPr>
        <w:t xml:space="preserve"> date on HMCU1</w:t>
      </w:r>
      <w:r w:rsidR="00046656">
        <w:rPr>
          <w:bCs/>
        </w:rPr>
        <w:t xml:space="preserve"> and H0ZDC</w:t>
      </w:r>
      <w:r>
        <w:rPr>
          <w:bCs/>
        </w:rPr>
        <w:t xml:space="preserve"> for all nine</w:t>
      </w:r>
      <w:r w:rsidRPr="00C71F03">
        <w:rPr>
          <w:bCs/>
        </w:rPr>
        <w:t xml:space="preserve">-month faculty with a contract length of “09” on screen H0BUO and an employment status of “1” on screen H0BES to September 1, </w:t>
      </w:r>
      <w:r w:rsidR="00AA1D6F">
        <w:rPr>
          <w:bCs/>
        </w:rPr>
        <w:t>202</w:t>
      </w:r>
      <w:r w:rsidR="00F01F8A">
        <w:rPr>
          <w:bCs/>
        </w:rPr>
        <w:t>1</w:t>
      </w:r>
      <w:r w:rsidR="00D94A8F">
        <w:rPr>
          <w:bCs/>
        </w:rPr>
        <w:t>,</w:t>
      </w:r>
      <w:r w:rsidRPr="00C71F03">
        <w:rPr>
          <w:bCs/>
        </w:rPr>
        <w:t xml:space="preserve"> on </w:t>
      </w:r>
      <w:r w:rsidRPr="008E29CE">
        <w:rPr>
          <w:b/>
        </w:rPr>
        <w:t xml:space="preserve">May </w:t>
      </w:r>
      <w:r w:rsidR="008E29CE" w:rsidRPr="008E29CE">
        <w:rPr>
          <w:b/>
        </w:rPr>
        <w:t>11</w:t>
      </w:r>
      <w:r w:rsidRPr="008E29CE">
        <w:rPr>
          <w:b/>
        </w:rPr>
        <w:t xml:space="preserve">, </w:t>
      </w:r>
      <w:r w:rsidR="00AA1D6F" w:rsidRPr="008E29CE">
        <w:rPr>
          <w:b/>
        </w:rPr>
        <w:t>202</w:t>
      </w:r>
      <w:r w:rsidR="00F01F8A" w:rsidRPr="008E29CE">
        <w:rPr>
          <w:b/>
        </w:rPr>
        <w:t>1</w:t>
      </w:r>
      <w:r w:rsidRPr="00C71F03">
        <w:rPr>
          <w:bCs/>
        </w:rPr>
        <w:t xml:space="preserve">. The process may take more than one night. </w:t>
      </w:r>
      <w:r w:rsidRPr="00C71F03">
        <w:rPr>
          <w:bCs/>
          <w:u w:val="single"/>
        </w:rPr>
        <w:t>Please refrain from certifying until you have confirmed the transactions are complete for your agency</w:t>
      </w:r>
      <w:r>
        <w:rPr>
          <w:bCs/>
        </w:rPr>
        <w:t>.</w:t>
      </w:r>
    </w:p>
    <w:p w14:paraId="52B48067" w14:textId="77777777" w:rsidR="000200DF" w:rsidRDefault="000200DF" w:rsidP="00046656">
      <w:pPr>
        <w:spacing w:line="360" w:lineRule="auto"/>
      </w:pPr>
    </w:p>
    <w:p w14:paraId="71AEC4FC" w14:textId="77777777" w:rsidR="000200DF" w:rsidRDefault="000200DF" w:rsidP="00A06A65">
      <w:pPr>
        <w:spacing w:line="360" w:lineRule="auto"/>
        <w:jc w:val="both"/>
        <w:rPr>
          <w:b/>
          <w:bCs/>
          <w:i/>
          <w:iCs/>
        </w:rPr>
      </w:pPr>
    </w:p>
    <w:p w14:paraId="58C7E205" w14:textId="77777777" w:rsidR="000200DF" w:rsidRDefault="000200DF" w:rsidP="00A06A65">
      <w:pPr>
        <w:spacing w:line="360" w:lineRule="auto"/>
        <w:jc w:val="both"/>
        <w:rPr>
          <w:b/>
          <w:bCs/>
          <w:i/>
          <w:iCs/>
        </w:rPr>
      </w:pPr>
    </w:p>
    <w:p w14:paraId="0736B801" w14:textId="77777777" w:rsidR="006F383B" w:rsidRDefault="006F383B" w:rsidP="00A06A65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Special Pay notes:</w:t>
      </w:r>
    </w:p>
    <w:p w14:paraId="593DBE33" w14:textId="77777777" w:rsidR="003F227B" w:rsidRPr="0021204E" w:rsidRDefault="006F383B" w:rsidP="00DC01CA">
      <w:pPr>
        <w:pStyle w:val="ListParagraph"/>
        <w:numPr>
          <w:ilvl w:val="0"/>
          <w:numId w:val="12"/>
        </w:numPr>
        <w:spacing w:line="360" w:lineRule="auto"/>
        <w:jc w:val="both"/>
        <w:rPr>
          <w:b/>
          <w:u w:val="single"/>
        </w:rPr>
      </w:pPr>
      <w:r>
        <w:t>To ensure the proper recording</w:t>
      </w:r>
      <w:r w:rsidR="00475A39">
        <w:t xml:space="preserve"> of expenditures in C</w:t>
      </w:r>
      <w:r w:rsidR="00D95856">
        <w:t>ardinal</w:t>
      </w:r>
      <w:r w:rsidR="001C003E">
        <w:t xml:space="preserve"> </w:t>
      </w:r>
      <w:r w:rsidR="00475A39">
        <w:t>and AIS</w:t>
      </w:r>
      <w:r>
        <w:t xml:space="preserve">, special pay programmatic coding must be established for the employee on HMBU1 if different from the employee’s </w:t>
      </w:r>
      <w:r w:rsidR="00046656">
        <w:t>0</w:t>
      </w:r>
      <w:r>
        <w:t>R1 (Regular Earnings) programmatic record.</w:t>
      </w:r>
    </w:p>
    <w:p w14:paraId="30B6A171" w14:textId="77777777" w:rsidR="0021204E" w:rsidRPr="0021204E" w:rsidRDefault="0021204E" w:rsidP="00DC01CA">
      <w:pPr>
        <w:pStyle w:val="ListParagraph"/>
        <w:numPr>
          <w:ilvl w:val="0"/>
          <w:numId w:val="11"/>
        </w:numPr>
        <w:spacing w:line="360" w:lineRule="auto"/>
        <w:jc w:val="both"/>
      </w:pPr>
      <w:r w:rsidRPr="0021204E">
        <w:t>Retirement (deduction #s 009, 018, 044, 012, 014, 109, 114, 116, 117), Retiree Credit (deduction # 115), Group Insurance (deduction #120), and Long Term Disability (deduction #s 136, 144) are not charged on summer faculty wages.</w:t>
      </w:r>
    </w:p>
    <w:p w14:paraId="695C29A4" w14:textId="3B6C2242" w:rsidR="00163E21" w:rsidRDefault="00163E21" w:rsidP="00A06A65">
      <w:pPr>
        <w:spacing w:line="360" w:lineRule="auto"/>
        <w:rPr>
          <w:b/>
          <w:bCs/>
          <w:i/>
          <w:iCs/>
        </w:rPr>
      </w:pPr>
    </w:p>
    <w:p w14:paraId="3E6B047C" w14:textId="2A97DFF7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1F77D52F" w14:textId="533A265E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78DECA1F" w14:textId="15FD0FA2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284D83CF" w14:textId="40C65A64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14867F07" w14:textId="06C3FB13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2783BEFA" w14:textId="3AC4BE62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28C88DF2" w14:textId="30FA364F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0A0253C9" w14:textId="16550CC1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7D70D92" w14:textId="7030827D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100AD732" w14:textId="0AEE4E4B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733E3E67" w14:textId="35ECE73C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C6FBF56" w14:textId="460C3E94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EC982AA" w14:textId="73A697DC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5C02533D" w14:textId="77777777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7D2C23C8" w14:textId="77777777" w:rsidR="00B0632A" w:rsidRDefault="00B0632A" w:rsidP="00A06A65">
      <w:pPr>
        <w:spacing w:line="360" w:lineRule="auto"/>
        <w:rPr>
          <w:b/>
          <w:bCs/>
          <w:i/>
          <w:iCs/>
        </w:rPr>
      </w:pPr>
    </w:p>
    <w:p w14:paraId="0FB65E42" w14:textId="77777777" w:rsidR="006F383B" w:rsidRPr="00EE07B5" w:rsidRDefault="006F383B" w:rsidP="00EE07B5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b w:val="0"/>
        </w:rPr>
      </w:pPr>
      <w:r w:rsidRPr="00EE07B5">
        <w:rPr>
          <w:rStyle w:val="BookTitle"/>
          <w:b/>
        </w:rPr>
        <w:t>May 16 – May 31</w:t>
      </w:r>
    </w:p>
    <w:p w14:paraId="624AD01C" w14:textId="77777777" w:rsidR="006F383B" w:rsidRDefault="006F383B" w:rsidP="00A06A65">
      <w:pPr>
        <w:spacing w:line="360" w:lineRule="auto"/>
        <w:rPr>
          <w:b/>
          <w:bCs/>
        </w:rPr>
      </w:pPr>
    </w:p>
    <w:p w14:paraId="6B1E9C9C" w14:textId="77777777" w:rsidR="00601D05" w:rsidRDefault="00601D05" w:rsidP="00601D0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106AEFBB" w14:textId="77777777" w:rsidR="00601D05" w:rsidRPr="009E5B8B" w:rsidRDefault="00601D05" w:rsidP="00DC01CA">
      <w:pPr>
        <w:numPr>
          <w:ilvl w:val="0"/>
          <w:numId w:val="13"/>
        </w:numPr>
        <w:spacing w:line="360" w:lineRule="auto"/>
        <w:rPr>
          <w:b/>
          <w:bCs/>
        </w:rPr>
      </w:pPr>
      <w:r w:rsidRPr="009E5B8B">
        <w:rPr>
          <w:bCs/>
          <w:i/>
        </w:rPr>
        <w:t xml:space="preserve">For employees </w:t>
      </w:r>
      <w:r w:rsidRPr="009E5B8B">
        <w:rPr>
          <w:bCs/>
          <w:i/>
          <w:u w:val="single"/>
        </w:rPr>
        <w:t>working</w:t>
      </w:r>
      <w:r w:rsidRPr="009E5B8B">
        <w:rPr>
          <w:bCs/>
          <w:i/>
        </w:rPr>
        <w:t xml:space="preserve"> during the summer months:</w:t>
      </w:r>
      <w:r>
        <w:t xml:space="preserve"> </w:t>
      </w:r>
    </w:p>
    <w:p w14:paraId="717B9180" w14:textId="77777777" w:rsidR="00601D05" w:rsidRDefault="00601D05" w:rsidP="00DC01CA">
      <w:pPr>
        <w:numPr>
          <w:ilvl w:val="1"/>
          <w:numId w:val="14"/>
        </w:numPr>
        <w:spacing w:line="360" w:lineRule="auto"/>
        <w:rPr>
          <w:b/>
          <w:bCs/>
        </w:rPr>
      </w:pPr>
      <w:r>
        <w:t>Single deduction.</w:t>
      </w:r>
    </w:p>
    <w:p w14:paraId="2C89E106" w14:textId="77777777" w:rsidR="00601D05" w:rsidRPr="009E5B8B" w:rsidRDefault="00601D05" w:rsidP="00DC01CA">
      <w:pPr>
        <w:numPr>
          <w:ilvl w:val="0"/>
          <w:numId w:val="15"/>
        </w:numPr>
        <w:spacing w:line="360" w:lineRule="auto"/>
        <w:rPr>
          <w:color w:val="000000"/>
        </w:rPr>
      </w:pPr>
      <w:r w:rsidRPr="009E5B8B">
        <w:rPr>
          <w:bCs/>
          <w:i/>
        </w:rPr>
        <w:t xml:space="preserve">For employees who are </w:t>
      </w:r>
      <w:r w:rsidRPr="009E5B8B">
        <w:rPr>
          <w:bCs/>
          <w:i/>
          <w:u w:val="single"/>
        </w:rPr>
        <w:t>not working</w:t>
      </w:r>
      <w:r w:rsidRPr="009E5B8B">
        <w:rPr>
          <w:bCs/>
          <w:i/>
        </w:rPr>
        <w:t xml:space="preserve"> during the summer months:</w:t>
      </w:r>
      <w:r>
        <w:t xml:space="preserve"> </w:t>
      </w:r>
    </w:p>
    <w:p w14:paraId="408A7108" w14:textId="77777777" w:rsidR="00601D05" w:rsidRDefault="00601D05" w:rsidP="00DC01CA">
      <w:pPr>
        <w:numPr>
          <w:ilvl w:val="1"/>
          <w:numId w:val="16"/>
        </w:numPr>
        <w:spacing w:line="360" w:lineRule="auto"/>
        <w:rPr>
          <w:color w:val="000000"/>
        </w:rPr>
      </w:pPr>
      <w:r>
        <w:rPr>
          <w:color w:val="000000"/>
        </w:rPr>
        <w:t xml:space="preserve">No deduction 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024). This was taken May 1-May 15.</w:t>
      </w:r>
    </w:p>
    <w:p w14:paraId="1A1F0F2F" w14:textId="77777777" w:rsidR="00DC01CA" w:rsidRPr="00E230F2" w:rsidRDefault="00601D05" w:rsidP="005C4D04">
      <w:pPr>
        <w:numPr>
          <w:ilvl w:val="1"/>
          <w:numId w:val="16"/>
        </w:numPr>
        <w:spacing w:line="360" w:lineRule="auto"/>
        <w:rPr>
          <w:color w:val="000000"/>
        </w:rPr>
      </w:pPr>
      <w:r w:rsidRPr="00E230F2">
        <w:rPr>
          <w:color w:val="000000"/>
        </w:rPr>
        <w:t>Take one (1) semi-monthly deduction for AGY HLTH (deduction 026). No override required.</w:t>
      </w:r>
    </w:p>
    <w:p w14:paraId="3496384B" w14:textId="77777777" w:rsidR="008B47F9" w:rsidRDefault="00601D05" w:rsidP="00601D05">
      <w:pPr>
        <w:pStyle w:val="Header"/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b/>
          <w:bCs/>
          <w:i/>
          <w:iCs/>
          <w:u w:val="single"/>
        </w:rPr>
        <w:t>Note</w:t>
      </w:r>
      <w:r w:rsidRPr="008B47F9">
        <w:rPr>
          <w:b/>
          <w:bCs/>
          <w:i/>
          <w:iCs/>
        </w:rPr>
        <w:t>:</w:t>
      </w:r>
      <w:r w:rsidRPr="00601D05">
        <w:rPr>
          <w:bCs/>
          <w:iCs/>
        </w:rPr>
        <w:t xml:space="preserve"> </w:t>
      </w:r>
    </w:p>
    <w:p w14:paraId="01FA7442" w14:textId="77777777" w:rsidR="008B47F9" w:rsidRDefault="00601D05" w:rsidP="008B47F9">
      <w:pPr>
        <w:pStyle w:val="Header"/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iCs/>
        </w:rPr>
        <w:t xml:space="preserve">With the Automated Healthcare Reconciliation process, agencies are charged </w:t>
      </w:r>
      <w:r w:rsidR="00D94A8F">
        <w:rPr>
          <w:iCs/>
        </w:rPr>
        <w:t>monthly</w:t>
      </w:r>
      <w:r w:rsidRPr="008B47F9">
        <w:rPr>
          <w:iCs/>
        </w:rPr>
        <w:t xml:space="preserve"> for health care premiums, for those eligible employees (as shown in BES) not having premiums deducted.  </w:t>
      </w:r>
    </w:p>
    <w:p w14:paraId="004AC7BF" w14:textId="77777777" w:rsidR="008B47F9" w:rsidRDefault="00601D05" w:rsidP="00DC01CA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iCs/>
        </w:rPr>
        <w:t xml:space="preserve">Your May healthcare reconciliation should reflect a credit balance, due to multiple deductions taken in May to cover charges for those employees not working in June (current fiscal year). </w:t>
      </w:r>
    </w:p>
    <w:p w14:paraId="4FDD8D9B" w14:textId="77777777" w:rsidR="008B47F9" w:rsidRDefault="00601D05" w:rsidP="00DC01CA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 w:rsidRPr="008B47F9">
        <w:rPr>
          <w:iCs/>
        </w:rPr>
        <w:t xml:space="preserve">Your June healthcare reconciliation should reflect a charge to your agency for those eligible employees not working in June (next fiscal year).  </w:t>
      </w:r>
    </w:p>
    <w:p w14:paraId="4DA53D3E" w14:textId="5F876A83" w:rsidR="00B0632A" w:rsidRPr="00B0632A" w:rsidRDefault="00D94A8F" w:rsidP="00B0632A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>
        <w:rPr>
          <w:sz w:val="23"/>
          <w:szCs w:val="23"/>
        </w:rPr>
        <w:t>T</w:t>
      </w:r>
      <w:r w:rsidR="00601D05" w:rsidRPr="008B47F9">
        <w:rPr>
          <w:sz w:val="23"/>
          <w:szCs w:val="23"/>
        </w:rPr>
        <w:t xml:space="preserve">o receive credit for the balance on the May healthcare reconciliation, the college must prepare a Cardinal GL Journal Spreadsheet Upload Excel Template with the appropriate coding and submit the GL Spreadsheet Journal text file to </w:t>
      </w:r>
      <w:r w:rsidR="00FB774D" w:rsidRPr="008B47F9">
        <w:rPr>
          <w:sz w:val="23"/>
          <w:szCs w:val="23"/>
        </w:rPr>
        <w:t>DOA;</w:t>
      </w:r>
      <w:r w:rsidR="00601D05" w:rsidRPr="008B47F9">
        <w:rPr>
          <w:color w:val="0000FF"/>
          <w:sz w:val="23"/>
          <w:szCs w:val="23"/>
        </w:rPr>
        <w:t xml:space="preserve"> </w:t>
      </w:r>
      <w:r w:rsidR="00FB774D" w:rsidRPr="008B47F9">
        <w:rPr>
          <w:sz w:val="23"/>
          <w:szCs w:val="23"/>
        </w:rPr>
        <w:t>they</w:t>
      </w:r>
      <w:r w:rsidR="00601D05" w:rsidRPr="008B47F9">
        <w:rPr>
          <w:sz w:val="23"/>
          <w:szCs w:val="23"/>
        </w:rPr>
        <w:t xml:space="preserve"> will</w:t>
      </w:r>
      <w:r w:rsidR="00FB774D" w:rsidRPr="008B47F9">
        <w:rPr>
          <w:sz w:val="23"/>
          <w:szCs w:val="23"/>
        </w:rPr>
        <w:t xml:space="preserve"> load the journal into Cardinal. A</w:t>
      </w:r>
      <w:r w:rsidR="00601D05" w:rsidRPr="008B47F9">
        <w:rPr>
          <w:sz w:val="23"/>
          <w:szCs w:val="23"/>
        </w:rPr>
        <w:t xml:space="preserve"> separate entry will be necessary to record in AIS.</w:t>
      </w:r>
    </w:p>
    <w:p w14:paraId="315550B4" w14:textId="77777777" w:rsidR="00B0632A" w:rsidRPr="008B47F9" w:rsidRDefault="00B0632A" w:rsidP="008B47F9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iCs/>
        </w:rPr>
      </w:pPr>
    </w:p>
    <w:p w14:paraId="6C8E77A1" w14:textId="77777777" w:rsidR="006F383B" w:rsidRPr="00EE07B5" w:rsidRDefault="006F383B" w:rsidP="00EE07B5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</w:rPr>
      </w:pPr>
      <w:r w:rsidRPr="00EE07B5">
        <w:rPr>
          <w:rStyle w:val="BookTitle"/>
          <w:b/>
        </w:rPr>
        <w:t>June 1 – June 15</w:t>
      </w:r>
    </w:p>
    <w:p w14:paraId="30903B79" w14:textId="77777777" w:rsidR="006F383B" w:rsidRDefault="006F383B" w:rsidP="00A06A65">
      <w:pPr>
        <w:spacing w:line="360" w:lineRule="auto"/>
      </w:pPr>
    </w:p>
    <w:p w14:paraId="28465EA9" w14:textId="77777777" w:rsidR="00601D05" w:rsidRPr="00692E30" w:rsidRDefault="00601D05" w:rsidP="00601D05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Health Care</w:t>
      </w:r>
      <w:r w:rsidRPr="00692E30">
        <w:rPr>
          <w:b/>
          <w:bCs/>
          <w:iCs/>
        </w:rPr>
        <w:t>:</w:t>
      </w:r>
    </w:p>
    <w:p w14:paraId="2EAA3ABC" w14:textId="77777777" w:rsidR="00601D05" w:rsidRPr="00692E30" w:rsidRDefault="00601D05" w:rsidP="00DC01CA">
      <w:pPr>
        <w:numPr>
          <w:ilvl w:val="0"/>
          <w:numId w:val="18"/>
        </w:numPr>
        <w:spacing w:line="360" w:lineRule="auto"/>
        <w:rPr>
          <w:b/>
          <w:bCs/>
        </w:rPr>
      </w:pPr>
      <w:r w:rsidRPr="00692E30">
        <w:rPr>
          <w:bCs/>
        </w:rPr>
        <w:t xml:space="preserve">For employees </w:t>
      </w:r>
      <w:r w:rsidRPr="00692E30">
        <w:rPr>
          <w:bCs/>
          <w:u w:val="single"/>
        </w:rPr>
        <w:t>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539C00C2" w14:textId="77777777" w:rsidR="00601D05" w:rsidRDefault="00601D05" w:rsidP="00DC01CA">
      <w:pPr>
        <w:numPr>
          <w:ilvl w:val="1"/>
          <w:numId w:val="17"/>
        </w:numPr>
        <w:spacing w:line="360" w:lineRule="auto"/>
        <w:rPr>
          <w:b/>
          <w:bCs/>
        </w:rPr>
      </w:pPr>
      <w:r>
        <w:t>Single deduction.</w:t>
      </w:r>
    </w:p>
    <w:p w14:paraId="22D5F0BD" w14:textId="77777777" w:rsidR="00601D05" w:rsidRPr="00692E30" w:rsidRDefault="00601D05" w:rsidP="00DC01CA">
      <w:pPr>
        <w:numPr>
          <w:ilvl w:val="0"/>
          <w:numId w:val="19"/>
        </w:numPr>
        <w:spacing w:line="360" w:lineRule="auto"/>
        <w:rPr>
          <w:color w:val="000000"/>
        </w:rPr>
      </w:pPr>
      <w:r w:rsidRPr="00692E30">
        <w:rPr>
          <w:bCs/>
        </w:rPr>
        <w:t xml:space="preserve">For employees who are </w:t>
      </w:r>
      <w:r w:rsidRPr="00692E30">
        <w:rPr>
          <w:bCs/>
          <w:u w:val="single"/>
        </w:rPr>
        <w:t>not 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04814979" w14:textId="77777777" w:rsidR="00601D05" w:rsidRDefault="00601D05" w:rsidP="00DC01CA">
      <w:pPr>
        <w:numPr>
          <w:ilvl w:val="1"/>
          <w:numId w:val="20"/>
        </w:numPr>
        <w:spacing w:line="360" w:lineRule="auto"/>
        <w:rPr>
          <w:color w:val="000000"/>
        </w:rPr>
      </w:pPr>
      <w:r>
        <w:rPr>
          <w:color w:val="000000"/>
        </w:rPr>
        <w:t xml:space="preserve">No deduction 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024). This was taken May 1-May 15.</w:t>
      </w:r>
    </w:p>
    <w:p w14:paraId="6EEC4D05" w14:textId="690E012C" w:rsidR="00601D05" w:rsidRPr="00B0632A" w:rsidRDefault="00601D05" w:rsidP="00DC01CA">
      <w:pPr>
        <w:numPr>
          <w:ilvl w:val="1"/>
          <w:numId w:val="20"/>
        </w:numPr>
        <w:spacing w:line="360" w:lineRule="auto"/>
      </w:pPr>
      <w:r w:rsidRPr="00601D05">
        <w:rPr>
          <w:color w:val="000000"/>
        </w:rPr>
        <w:t>Take one (1) semi-monthly deduction for AGY HLTH (deduction 026). No override required.</w:t>
      </w:r>
    </w:p>
    <w:p w14:paraId="594FF02A" w14:textId="6ABD6CC6" w:rsidR="00B0632A" w:rsidRDefault="00B0632A" w:rsidP="00B0632A">
      <w:pPr>
        <w:spacing w:line="360" w:lineRule="auto"/>
        <w:ind w:left="1080"/>
        <w:rPr>
          <w:color w:val="000000"/>
        </w:rPr>
      </w:pPr>
    </w:p>
    <w:p w14:paraId="0002C8E4" w14:textId="05E187F5" w:rsidR="00B0632A" w:rsidRDefault="00B0632A" w:rsidP="00B0632A">
      <w:pPr>
        <w:spacing w:line="360" w:lineRule="auto"/>
        <w:ind w:left="1080"/>
        <w:rPr>
          <w:color w:val="000000"/>
        </w:rPr>
      </w:pPr>
    </w:p>
    <w:p w14:paraId="38296D2A" w14:textId="77777777" w:rsidR="00B0632A" w:rsidRPr="00E230F2" w:rsidRDefault="00B0632A" w:rsidP="00B0632A">
      <w:pPr>
        <w:spacing w:line="360" w:lineRule="auto"/>
        <w:ind w:left="1080"/>
      </w:pPr>
    </w:p>
    <w:p w14:paraId="7A539D24" w14:textId="77777777" w:rsidR="006F383B" w:rsidRPr="00EE07B5" w:rsidRDefault="006F383B" w:rsidP="00E230F2">
      <w:pPr>
        <w:pStyle w:val="Heading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EE07B5">
        <w:rPr>
          <w:rStyle w:val="BookTitle"/>
          <w:b/>
        </w:rPr>
        <w:lastRenderedPageBreak/>
        <w:t>June 16 – June 30</w:t>
      </w:r>
    </w:p>
    <w:p w14:paraId="74C076AB" w14:textId="44893227" w:rsidR="006F383B" w:rsidRPr="00EE07B5" w:rsidRDefault="006F383B" w:rsidP="00E230F2">
      <w:pPr>
        <w:pStyle w:val="Heading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  <w:u w:val="single"/>
        </w:rPr>
      </w:pPr>
      <w:r w:rsidRPr="00EE07B5">
        <w:rPr>
          <w:rStyle w:val="BookTitle"/>
          <w:b/>
          <w:u w:val="single"/>
        </w:rPr>
        <w:t xml:space="preserve">(This payroll will be charged to the </w:t>
      </w:r>
      <w:r w:rsidR="00475A39" w:rsidRPr="00EE07B5">
        <w:rPr>
          <w:rStyle w:val="BookTitle"/>
          <w:b/>
          <w:u w:val="single"/>
        </w:rPr>
        <w:t xml:space="preserve">fiscal year ending June 30, </w:t>
      </w:r>
      <w:r w:rsidR="00AA1D6F" w:rsidRPr="00EE07B5">
        <w:rPr>
          <w:rStyle w:val="BookTitle"/>
          <w:b/>
          <w:bCs/>
          <w:u w:val="single"/>
        </w:rPr>
        <w:t>202</w:t>
      </w:r>
      <w:r w:rsidR="00975DAD">
        <w:rPr>
          <w:rStyle w:val="BookTitle"/>
          <w:b/>
          <w:bCs/>
          <w:u w:val="single"/>
        </w:rPr>
        <w:t>1</w:t>
      </w:r>
      <w:r w:rsidR="004D5E0D" w:rsidRPr="00EE07B5">
        <w:rPr>
          <w:rStyle w:val="BookTitle"/>
          <w:b/>
          <w:u w:val="single"/>
        </w:rPr>
        <w:t>)</w:t>
      </w:r>
    </w:p>
    <w:p w14:paraId="1695836C" w14:textId="77777777" w:rsidR="00573608" w:rsidRPr="009E0142" w:rsidRDefault="00573608" w:rsidP="00A06A65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color w:val="FF0000"/>
        </w:rPr>
      </w:pPr>
    </w:p>
    <w:p w14:paraId="00DF7F1C" w14:textId="77777777" w:rsidR="00601D05" w:rsidRPr="00692E30" w:rsidRDefault="00601D05" w:rsidP="00601D05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Health Care</w:t>
      </w:r>
      <w:r w:rsidRPr="00692E30">
        <w:rPr>
          <w:b/>
          <w:bCs/>
          <w:iCs/>
        </w:rPr>
        <w:t>:</w:t>
      </w:r>
    </w:p>
    <w:p w14:paraId="191C037B" w14:textId="77777777" w:rsidR="00601D05" w:rsidRPr="00692E30" w:rsidRDefault="00601D05" w:rsidP="00DC01CA">
      <w:pPr>
        <w:numPr>
          <w:ilvl w:val="0"/>
          <w:numId w:val="22"/>
        </w:numPr>
        <w:spacing w:line="360" w:lineRule="auto"/>
        <w:rPr>
          <w:b/>
          <w:bCs/>
        </w:rPr>
      </w:pPr>
      <w:r w:rsidRPr="00692E30">
        <w:rPr>
          <w:bCs/>
        </w:rPr>
        <w:t xml:space="preserve">For employees </w:t>
      </w:r>
      <w:r w:rsidRPr="00692E30">
        <w:rPr>
          <w:bCs/>
          <w:u w:val="single"/>
        </w:rPr>
        <w:t>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62BE42E6" w14:textId="77777777" w:rsidR="00601D05" w:rsidRDefault="00601D05" w:rsidP="00DC01CA">
      <w:pPr>
        <w:numPr>
          <w:ilvl w:val="1"/>
          <w:numId w:val="21"/>
        </w:numPr>
        <w:spacing w:line="360" w:lineRule="auto"/>
        <w:rPr>
          <w:b/>
          <w:bCs/>
        </w:rPr>
      </w:pPr>
      <w:r>
        <w:t>Single deduction.</w:t>
      </w:r>
    </w:p>
    <w:p w14:paraId="38196642" w14:textId="77777777" w:rsidR="00601D05" w:rsidRPr="00692E30" w:rsidRDefault="00601D05" w:rsidP="00DC01CA">
      <w:pPr>
        <w:numPr>
          <w:ilvl w:val="0"/>
          <w:numId w:val="24"/>
        </w:numPr>
        <w:spacing w:line="360" w:lineRule="auto"/>
        <w:rPr>
          <w:color w:val="000000"/>
        </w:rPr>
      </w:pPr>
      <w:r w:rsidRPr="00692E30">
        <w:rPr>
          <w:bCs/>
        </w:rPr>
        <w:t xml:space="preserve">For employees who are </w:t>
      </w:r>
      <w:r w:rsidRPr="00692E30">
        <w:rPr>
          <w:bCs/>
          <w:u w:val="single"/>
        </w:rPr>
        <w:t>not 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4174B4F6" w14:textId="77777777" w:rsidR="00601D05" w:rsidRDefault="00601D05" w:rsidP="00DC01CA">
      <w:pPr>
        <w:numPr>
          <w:ilvl w:val="1"/>
          <w:numId w:val="23"/>
        </w:numPr>
        <w:spacing w:line="360" w:lineRule="auto"/>
        <w:rPr>
          <w:color w:val="000000"/>
        </w:rPr>
      </w:pPr>
      <w:r>
        <w:rPr>
          <w:color w:val="000000"/>
        </w:rPr>
        <w:t xml:space="preserve">No deduction 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024). This was taken May 1 - May 15.</w:t>
      </w:r>
    </w:p>
    <w:p w14:paraId="354F2A0B" w14:textId="77777777" w:rsidR="00601D05" w:rsidRDefault="00601D05" w:rsidP="00DC01CA">
      <w:pPr>
        <w:numPr>
          <w:ilvl w:val="1"/>
          <w:numId w:val="23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one (1) semi-monthly deduction </w:t>
      </w:r>
      <w:r>
        <w:rPr>
          <w:color w:val="000000"/>
        </w:rPr>
        <w:t xml:space="preserve">for </w:t>
      </w:r>
      <w:r w:rsidRPr="009E5B8B">
        <w:rPr>
          <w:color w:val="000000"/>
        </w:rPr>
        <w:t xml:space="preserve">AGY HLTH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>0</w:t>
      </w:r>
      <w:r w:rsidRPr="009F50F7">
        <w:rPr>
          <w:color w:val="000000"/>
        </w:rPr>
        <w:t>26).</w:t>
      </w:r>
      <w:r>
        <w:rPr>
          <w:color w:val="000000"/>
        </w:rPr>
        <w:t xml:space="preserve"> No override required.</w:t>
      </w:r>
    </w:p>
    <w:p w14:paraId="390CB852" w14:textId="77777777" w:rsidR="00C137C1" w:rsidRPr="009928A5" w:rsidRDefault="00C137C1" w:rsidP="009928A5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23AF33C9" w14:textId="3105CEB3" w:rsidR="006F383B" w:rsidRPr="00B0632A" w:rsidRDefault="006F383B" w:rsidP="00B0632A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i/>
          <w:iCs/>
          <w:spacing w:val="5"/>
        </w:rPr>
      </w:pPr>
      <w:r w:rsidRPr="008B47F9">
        <w:rPr>
          <w:rStyle w:val="BookTitle"/>
          <w:b/>
        </w:rPr>
        <w:t>July 1 – July 15</w:t>
      </w:r>
    </w:p>
    <w:p w14:paraId="13626B08" w14:textId="77777777" w:rsidR="00601D05" w:rsidRPr="00692E30" w:rsidRDefault="00601D05" w:rsidP="00601D05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Health Care</w:t>
      </w:r>
      <w:r w:rsidRPr="00692E30">
        <w:rPr>
          <w:b/>
          <w:bCs/>
          <w:iCs/>
        </w:rPr>
        <w:t>:</w:t>
      </w:r>
    </w:p>
    <w:p w14:paraId="41B0D08C" w14:textId="77777777" w:rsidR="00601D05" w:rsidRPr="00692E30" w:rsidRDefault="00601D05" w:rsidP="00DC01CA">
      <w:pPr>
        <w:numPr>
          <w:ilvl w:val="0"/>
          <w:numId w:val="25"/>
        </w:numPr>
        <w:spacing w:line="360" w:lineRule="auto"/>
        <w:rPr>
          <w:bCs/>
        </w:rPr>
      </w:pPr>
      <w:r w:rsidRPr="00692E30">
        <w:rPr>
          <w:bCs/>
        </w:rPr>
        <w:t>New premiums are effective.</w:t>
      </w:r>
    </w:p>
    <w:p w14:paraId="373D5F01" w14:textId="77777777" w:rsidR="00601D05" w:rsidRPr="00692E30" w:rsidRDefault="00601D05" w:rsidP="00DC01CA">
      <w:pPr>
        <w:numPr>
          <w:ilvl w:val="0"/>
          <w:numId w:val="25"/>
        </w:numPr>
        <w:spacing w:line="360" w:lineRule="auto"/>
        <w:rPr>
          <w:b/>
          <w:bCs/>
        </w:rPr>
      </w:pPr>
      <w:r w:rsidRPr="00692E30">
        <w:rPr>
          <w:bCs/>
        </w:rPr>
        <w:t xml:space="preserve">For employees </w:t>
      </w:r>
      <w:r w:rsidRPr="00692E30">
        <w:rPr>
          <w:bCs/>
          <w:u w:val="single"/>
        </w:rPr>
        <w:t>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48728287" w14:textId="77777777" w:rsidR="00601D05" w:rsidRPr="00692E30" w:rsidRDefault="00601D05" w:rsidP="00DC01CA">
      <w:pPr>
        <w:numPr>
          <w:ilvl w:val="1"/>
          <w:numId w:val="26"/>
        </w:numPr>
        <w:spacing w:line="360" w:lineRule="auto"/>
        <w:rPr>
          <w:b/>
          <w:bCs/>
        </w:rPr>
      </w:pPr>
      <w:r w:rsidRPr="00692E30">
        <w:t>Single deduction.</w:t>
      </w:r>
    </w:p>
    <w:p w14:paraId="6C0654B9" w14:textId="77777777" w:rsidR="00601D05" w:rsidRPr="00692E30" w:rsidRDefault="00601D05" w:rsidP="00DC01CA">
      <w:pPr>
        <w:numPr>
          <w:ilvl w:val="0"/>
          <w:numId w:val="28"/>
        </w:numPr>
        <w:spacing w:line="360" w:lineRule="auto"/>
        <w:rPr>
          <w:color w:val="000000"/>
        </w:rPr>
      </w:pPr>
      <w:r w:rsidRPr="00692E30">
        <w:rPr>
          <w:bCs/>
        </w:rPr>
        <w:t xml:space="preserve">For employees who are </w:t>
      </w:r>
      <w:r w:rsidRPr="00692E30">
        <w:rPr>
          <w:bCs/>
          <w:u w:val="single"/>
        </w:rPr>
        <w:t>not working</w:t>
      </w:r>
      <w:r w:rsidRPr="00692E30">
        <w:rPr>
          <w:bCs/>
        </w:rPr>
        <w:t xml:space="preserve"> during the summer months:</w:t>
      </w:r>
      <w:r w:rsidRPr="00692E30">
        <w:t xml:space="preserve"> </w:t>
      </w:r>
    </w:p>
    <w:p w14:paraId="49ED3BB0" w14:textId="77777777" w:rsidR="00601D05" w:rsidRPr="00692E30" w:rsidRDefault="00601D05" w:rsidP="00DC01CA">
      <w:pPr>
        <w:numPr>
          <w:ilvl w:val="1"/>
          <w:numId w:val="27"/>
        </w:numPr>
        <w:spacing w:line="360" w:lineRule="auto"/>
        <w:rPr>
          <w:color w:val="000000"/>
        </w:rPr>
      </w:pPr>
      <w:r w:rsidRPr="00692E30">
        <w:rPr>
          <w:color w:val="000000"/>
        </w:rPr>
        <w:t>No deduction for PRM CONV (deduction 024). This will be taken August 16 - August 31.</w:t>
      </w:r>
    </w:p>
    <w:p w14:paraId="2D1799CB" w14:textId="77777777" w:rsidR="00976B62" w:rsidRPr="000200DF" w:rsidRDefault="00601D05" w:rsidP="00AB36BE">
      <w:pPr>
        <w:numPr>
          <w:ilvl w:val="1"/>
          <w:numId w:val="27"/>
        </w:numPr>
        <w:spacing w:line="360" w:lineRule="auto"/>
      </w:pPr>
      <w:r w:rsidRPr="000200DF">
        <w:rPr>
          <w:color w:val="000000"/>
        </w:rPr>
        <w:t>Take one (1) semi-monthly deduction for AGY HLTH (deduction 026). No override required.</w:t>
      </w:r>
    </w:p>
    <w:p w14:paraId="7D73C5D4" w14:textId="77777777" w:rsidR="000200DF" w:rsidRDefault="000200DF" w:rsidP="00B0632A">
      <w:pPr>
        <w:spacing w:line="360" w:lineRule="auto"/>
        <w:ind w:left="720"/>
      </w:pPr>
    </w:p>
    <w:p w14:paraId="5D7941FC" w14:textId="77777777" w:rsidR="006F383B" w:rsidRPr="008B47F9" w:rsidRDefault="006F383B" w:rsidP="008B47F9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8B47F9">
        <w:rPr>
          <w:rStyle w:val="BookTitle"/>
          <w:b/>
        </w:rPr>
        <w:t>July 16 – July 31</w:t>
      </w:r>
    </w:p>
    <w:p w14:paraId="0FE55703" w14:textId="77777777" w:rsidR="006F383B" w:rsidRDefault="006F383B" w:rsidP="00A06A65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b/>
          <w:bCs/>
        </w:rPr>
      </w:pPr>
    </w:p>
    <w:p w14:paraId="6C47C83B" w14:textId="77777777" w:rsidR="00601D05" w:rsidRDefault="00601D05" w:rsidP="00601D0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18D97DD7" w14:textId="77777777" w:rsidR="006F383B" w:rsidRDefault="00601D05" w:rsidP="00DC01CA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spacing w:line="360" w:lineRule="auto"/>
      </w:pPr>
      <w:r>
        <w:t>Same as July 1 – July 15.</w:t>
      </w:r>
    </w:p>
    <w:p w14:paraId="6ABD6510" w14:textId="77777777" w:rsidR="00601D05" w:rsidRPr="008B47F9" w:rsidRDefault="00601D05" w:rsidP="00601D05">
      <w:pPr>
        <w:pStyle w:val="Header"/>
        <w:tabs>
          <w:tab w:val="clear" w:pos="4320"/>
          <w:tab w:val="clear" w:pos="8640"/>
        </w:tabs>
        <w:spacing w:line="360" w:lineRule="auto"/>
        <w:rPr>
          <w:b/>
        </w:rPr>
      </w:pPr>
    </w:p>
    <w:p w14:paraId="7EDB0D58" w14:textId="77777777" w:rsidR="006F383B" w:rsidRPr="008B47F9" w:rsidRDefault="006F383B" w:rsidP="000200DF">
      <w:pPr>
        <w:pStyle w:val="Heading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8B47F9">
        <w:rPr>
          <w:rStyle w:val="BookTitle"/>
          <w:b/>
        </w:rPr>
        <w:t>August 1 – August 15</w:t>
      </w:r>
    </w:p>
    <w:p w14:paraId="349BF6CF" w14:textId="77777777" w:rsidR="006F383B" w:rsidRDefault="006F383B" w:rsidP="00A06A65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</w:rPr>
      </w:pPr>
    </w:p>
    <w:p w14:paraId="5E583731" w14:textId="77777777" w:rsidR="00601D05" w:rsidRDefault="00601D05" w:rsidP="00601D05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794A4464" w14:textId="77777777" w:rsidR="00601D05" w:rsidRDefault="00601D05" w:rsidP="00DC01CA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spacing w:line="360" w:lineRule="auto"/>
      </w:pPr>
      <w:r>
        <w:t>Same as July 1 – July 15.</w:t>
      </w:r>
    </w:p>
    <w:p w14:paraId="2C92F1DD" w14:textId="284DBD8C" w:rsidR="00B0632A" w:rsidRDefault="00B0632A" w:rsidP="00CA7508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496D63B3" w14:textId="04969A94" w:rsidR="00B0632A" w:rsidRDefault="00B0632A" w:rsidP="00CA7508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20B4DD5C" w14:textId="77777777" w:rsidR="00B0632A" w:rsidRDefault="00B0632A" w:rsidP="00CA7508">
      <w:pPr>
        <w:pStyle w:val="Header"/>
        <w:tabs>
          <w:tab w:val="clear" w:pos="4320"/>
          <w:tab w:val="clear" w:pos="8640"/>
        </w:tabs>
        <w:spacing w:line="360" w:lineRule="auto"/>
        <w:ind w:left="360"/>
      </w:pPr>
    </w:p>
    <w:p w14:paraId="6393CD0E" w14:textId="77777777" w:rsidR="006F383B" w:rsidRPr="008B47F9" w:rsidRDefault="006F383B" w:rsidP="008B47F9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8B47F9">
        <w:rPr>
          <w:rStyle w:val="BookTitle"/>
          <w:b/>
        </w:rPr>
        <w:lastRenderedPageBreak/>
        <w:t>August 16 – August 31</w:t>
      </w:r>
    </w:p>
    <w:p w14:paraId="382E6AF4" w14:textId="77777777" w:rsidR="006F383B" w:rsidRDefault="006F383B" w:rsidP="00A06A65">
      <w:pPr>
        <w:pStyle w:val="Header"/>
        <w:tabs>
          <w:tab w:val="clear" w:pos="4320"/>
          <w:tab w:val="clear" w:pos="8640"/>
        </w:tabs>
        <w:spacing w:line="360" w:lineRule="auto"/>
      </w:pPr>
    </w:p>
    <w:p w14:paraId="67C9D673" w14:textId="77777777" w:rsidR="00F27E3B" w:rsidRDefault="00F27E3B" w:rsidP="00F27E3B">
      <w:pPr>
        <w:spacing w:line="360" w:lineRule="auto"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4534E261" w14:textId="77777777" w:rsidR="00F27E3B" w:rsidRPr="00FB774D" w:rsidRDefault="00F27E3B" w:rsidP="00DC01CA">
      <w:pPr>
        <w:numPr>
          <w:ilvl w:val="0"/>
          <w:numId w:val="32"/>
        </w:numPr>
        <w:spacing w:line="360" w:lineRule="auto"/>
        <w:rPr>
          <w:b/>
          <w:bCs/>
        </w:rPr>
      </w:pPr>
      <w:r w:rsidRPr="00FB774D">
        <w:rPr>
          <w:bCs/>
        </w:rPr>
        <w:t xml:space="preserve">For employees </w:t>
      </w:r>
      <w:r w:rsidRPr="00FB774D">
        <w:rPr>
          <w:bCs/>
          <w:u w:val="single"/>
        </w:rPr>
        <w:t>working</w:t>
      </w:r>
      <w:r w:rsidRPr="00FB774D">
        <w:rPr>
          <w:bCs/>
        </w:rPr>
        <w:t xml:space="preserve"> during the summer months:</w:t>
      </w:r>
      <w:r w:rsidRPr="00FB774D">
        <w:t xml:space="preserve"> </w:t>
      </w:r>
    </w:p>
    <w:p w14:paraId="18DD6C99" w14:textId="77777777" w:rsidR="00F27E3B" w:rsidRDefault="00F27E3B" w:rsidP="00DC01CA">
      <w:pPr>
        <w:numPr>
          <w:ilvl w:val="1"/>
          <w:numId w:val="33"/>
        </w:numPr>
        <w:spacing w:line="360" w:lineRule="auto"/>
        <w:rPr>
          <w:b/>
          <w:bCs/>
        </w:rPr>
      </w:pPr>
      <w:r>
        <w:t>Single deduction.</w:t>
      </w:r>
    </w:p>
    <w:p w14:paraId="019BD665" w14:textId="77777777" w:rsidR="00F27E3B" w:rsidRPr="00FB774D" w:rsidRDefault="00F27E3B" w:rsidP="00DC01CA">
      <w:pPr>
        <w:numPr>
          <w:ilvl w:val="0"/>
          <w:numId w:val="32"/>
        </w:numPr>
        <w:spacing w:line="360" w:lineRule="auto"/>
        <w:rPr>
          <w:color w:val="000000"/>
        </w:rPr>
      </w:pPr>
      <w:r w:rsidRPr="00FB774D">
        <w:rPr>
          <w:bCs/>
        </w:rPr>
        <w:t xml:space="preserve">For employees who are </w:t>
      </w:r>
      <w:r w:rsidRPr="00FB774D">
        <w:rPr>
          <w:bCs/>
          <w:u w:val="single"/>
        </w:rPr>
        <w:t>not working</w:t>
      </w:r>
      <w:r w:rsidRPr="00FB774D">
        <w:rPr>
          <w:bCs/>
        </w:rPr>
        <w:t xml:space="preserve"> during the summer months:</w:t>
      </w:r>
      <w:r w:rsidRPr="00FB774D">
        <w:t xml:space="preserve"> </w:t>
      </w:r>
    </w:p>
    <w:p w14:paraId="527C85A1" w14:textId="593FAA81" w:rsidR="00F27E3B" w:rsidRDefault="00F27E3B" w:rsidP="00DC01CA">
      <w:pPr>
        <w:numPr>
          <w:ilvl w:val="1"/>
          <w:numId w:val="34"/>
        </w:numPr>
        <w:spacing w:line="360" w:lineRule="auto"/>
        <w:rPr>
          <w:color w:val="000000"/>
        </w:rPr>
      </w:pPr>
      <w:r w:rsidRPr="009F50F7">
        <w:rPr>
          <w:color w:val="000000"/>
        </w:rPr>
        <w:t xml:space="preserve">Take four (4) semi-monthly deductions </w:t>
      </w:r>
      <w:r>
        <w:rPr>
          <w:color w:val="000000"/>
        </w:rPr>
        <w:t xml:space="preserve">for </w:t>
      </w:r>
      <w:r w:rsidRPr="009E5B8B">
        <w:rPr>
          <w:color w:val="000000"/>
        </w:rPr>
        <w:t xml:space="preserve">PRM CONV </w:t>
      </w:r>
      <w:r w:rsidRPr="009F50F7">
        <w:rPr>
          <w:color w:val="000000"/>
        </w:rPr>
        <w:t xml:space="preserve">(deduction </w:t>
      </w:r>
      <w:r>
        <w:rPr>
          <w:color w:val="000000"/>
        </w:rPr>
        <w:t xml:space="preserve">024) for the periods July 1, </w:t>
      </w:r>
      <w:r w:rsidR="00AA1D6F">
        <w:rPr>
          <w:color w:val="000000"/>
        </w:rPr>
        <w:t>202</w:t>
      </w:r>
      <w:r w:rsidR="00F01F8A">
        <w:rPr>
          <w:color w:val="000000"/>
        </w:rPr>
        <w:t>1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through </w:t>
      </w:r>
      <w:r>
        <w:rPr>
          <w:color w:val="000000"/>
        </w:rPr>
        <w:t>August</w:t>
      </w:r>
      <w:r w:rsidRPr="009F50F7">
        <w:rPr>
          <w:color w:val="000000"/>
        </w:rPr>
        <w:t xml:space="preserve"> 3</w:t>
      </w:r>
      <w:r>
        <w:rPr>
          <w:color w:val="000000"/>
        </w:rPr>
        <w:t>1</w:t>
      </w:r>
      <w:r w:rsidRPr="009F50F7">
        <w:rPr>
          <w:color w:val="000000"/>
        </w:rPr>
        <w:t xml:space="preserve">, </w:t>
      </w:r>
      <w:r w:rsidR="00AA1D6F">
        <w:rPr>
          <w:color w:val="000000"/>
        </w:rPr>
        <w:t>202</w:t>
      </w:r>
      <w:r w:rsidR="00F01F8A">
        <w:rPr>
          <w:color w:val="000000"/>
        </w:rPr>
        <w:t>1</w:t>
      </w:r>
      <w:r w:rsidR="00D94A8F">
        <w:rPr>
          <w:color w:val="000000"/>
        </w:rPr>
        <w:t>,</w:t>
      </w:r>
      <w:r w:rsidRPr="009F50F7">
        <w:rPr>
          <w:color w:val="000000"/>
        </w:rPr>
        <w:t xml:space="preserve"> using HUD01</w:t>
      </w:r>
      <w:r>
        <w:rPr>
          <w:color w:val="000000"/>
        </w:rPr>
        <w:t>.</w:t>
      </w:r>
      <w:r w:rsidR="00FB774D">
        <w:rPr>
          <w:color w:val="000000"/>
        </w:rPr>
        <w:t xml:space="preserve">  This </w:t>
      </w:r>
      <w:r w:rsidR="00D94A8F">
        <w:rPr>
          <w:color w:val="000000"/>
        </w:rPr>
        <w:t>is three</w:t>
      </w:r>
      <w:r w:rsidR="00FB774D">
        <w:rPr>
          <w:color w:val="000000"/>
        </w:rPr>
        <w:t xml:space="preserve"> </w:t>
      </w:r>
      <w:r w:rsidR="00D94A8F">
        <w:rPr>
          <w:color w:val="000000"/>
        </w:rPr>
        <w:t>(</w:t>
      </w:r>
      <w:r w:rsidR="00FB774D">
        <w:rPr>
          <w:color w:val="000000"/>
        </w:rPr>
        <w:t>3</w:t>
      </w:r>
      <w:r w:rsidR="00D94A8F">
        <w:rPr>
          <w:color w:val="000000"/>
        </w:rPr>
        <w:t>)</w:t>
      </w:r>
      <w:r w:rsidR="00FB774D">
        <w:rPr>
          <w:color w:val="000000"/>
        </w:rPr>
        <w:t xml:space="preserve"> in addition to the normal deduction.  </w:t>
      </w:r>
      <w:r w:rsidR="00FB774D">
        <w:rPr>
          <w:color w:val="000000"/>
        </w:rPr>
        <w:br/>
      </w:r>
      <w:r w:rsidR="00FB774D" w:rsidRPr="00FB774D">
        <w:rPr>
          <w:color w:val="000000"/>
          <w:u w:val="single"/>
        </w:rPr>
        <w:t>Reminder</w:t>
      </w:r>
      <w:r w:rsidR="00FB774D">
        <w:rPr>
          <w:color w:val="000000"/>
        </w:rPr>
        <w:t>: new premiums were effective July 1</w:t>
      </w:r>
      <w:r w:rsidR="00FB774D" w:rsidRPr="00FB774D">
        <w:rPr>
          <w:color w:val="000000"/>
          <w:vertAlign w:val="superscript"/>
        </w:rPr>
        <w:t>st</w:t>
      </w:r>
      <w:r w:rsidR="00FB774D">
        <w:rPr>
          <w:color w:val="000000"/>
        </w:rPr>
        <w:t>.</w:t>
      </w:r>
    </w:p>
    <w:p w14:paraId="0E1F6063" w14:textId="77777777" w:rsidR="00F27E3B" w:rsidRPr="00F27E3B" w:rsidRDefault="00F27E3B" w:rsidP="00DC01CA">
      <w:pPr>
        <w:pStyle w:val="ListParagraph"/>
        <w:numPr>
          <w:ilvl w:val="1"/>
          <w:numId w:val="35"/>
        </w:numPr>
        <w:spacing w:line="360" w:lineRule="auto"/>
        <w:rPr>
          <w:b/>
          <w:bCs/>
        </w:rPr>
      </w:pPr>
      <w:r w:rsidRPr="00F27E3B">
        <w:rPr>
          <w:color w:val="000000"/>
        </w:rPr>
        <w:t>Take one (1) semi-monthly deduction for AGY HLTH (deduction 026). No override required.</w:t>
      </w:r>
    </w:p>
    <w:p w14:paraId="64C16E4F" w14:textId="77777777" w:rsidR="00F27E3B" w:rsidRPr="00FB774D" w:rsidRDefault="00F27E3B" w:rsidP="00DC01CA">
      <w:pPr>
        <w:pStyle w:val="ListParagraph"/>
        <w:numPr>
          <w:ilvl w:val="0"/>
          <w:numId w:val="37"/>
        </w:numPr>
        <w:spacing w:line="360" w:lineRule="auto"/>
        <w:rPr>
          <w:b/>
          <w:bCs/>
        </w:rPr>
      </w:pPr>
      <w:r w:rsidRPr="00FB774D">
        <w:rPr>
          <w:color w:val="000000"/>
        </w:rPr>
        <w:t>For new employees:</w:t>
      </w:r>
    </w:p>
    <w:p w14:paraId="6BB1BD50" w14:textId="77777777" w:rsidR="00F27E3B" w:rsidRPr="00BA18A6" w:rsidRDefault="00F27E3B" w:rsidP="00DC01CA">
      <w:pPr>
        <w:pStyle w:val="ListParagraph"/>
        <w:numPr>
          <w:ilvl w:val="1"/>
          <w:numId w:val="36"/>
        </w:numPr>
        <w:spacing w:line="360" w:lineRule="auto"/>
        <w:rPr>
          <w:b/>
          <w:bCs/>
        </w:rPr>
      </w:pPr>
      <w:r>
        <w:rPr>
          <w:color w:val="000000"/>
        </w:rPr>
        <w:t>No deductions.</w:t>
      </w:r>
    </w:p>
    <w:p w14:paraId="1CB8A67E" w14:textId="77777777" w:rsidR="00BA18A6" w:rsidRPr="00F27E3B" w:rsidRDefault="00BA18A6" w:rsidP="00BA18A6">
      <w:pPr>
        <w:pStyle w:val="ListParagraph"/>
        <w:spacing w:line="360" w:lineRule="auto"/>
        <w:ind w:left="1080"/>
        <w:rPr>
          <w:b/>
          <w:bCs/>
        </w:rPr>
      </w:pPr>
    </w:p>
    <w:p w14:paraId="72D7F022" w14:textId="77777777" w:rsidR="00F27E3B" w:rsidRPr="009E5B8B" w:rsidRDefault="00F27E3B" w:rsidP="00F27E3B">
      <w:pPr>
        <w:spacing w:line="360" w:lineRule="auto"/>
        <w:rPr>
          <w:b/>
          <w:bCs/>
          <w:iCs/>
        </w:rPr>
      </w:pPr>
      <w:r w:rsidRPr="009E5B8B">
        <w:rPr>
          <w:b/>
          <w:bCs/>
          <w:iCs/>
        </w:rPr>
        <w:t>Flexible Reimbursement Accounts:</w:t>
      </w:r>
    </w:p>
    <w:p w14:paraId="612449AD" w14:textId="77777777" w:rsidR="00F27E3B" w:rsidRPr="00BA18A6" w:rsidRDefault="00F27E3B" w:rsidP="00DC01CA">
      <w:pPr>
        <w:numPr>
          <w:ilvl w:val="0"/>
          <w:numId w:val="38"/>
        </w:numPr>
        <w:spacing w:line="360" w:lineRule="auto"/>
        <w:rPr>
          <w:b/>
          <w:bCs/>
        </w:rPr>
      </w:pPr>
      <w:r>
        <w:t>Single Deduction</w:t>
      </w:r>
    </w:p>
    <w:p w14:paraId="482B5F78" w14:textId="77777777" w:rsidR="00F27E3B" w:rsidRDefault="00F27E3B" w:rsidP="00F27E3B">
      <w:pPr>
        <w:spacing w:line="360" w:lineRule="auto"/>
        <w:rPr>
          <w:b/>
          <w:bCs/>
        </w:rPr>
      </w:pPr>
      <w:r>
        <w:rPr>
          <w:b/>
          <w:bCs/>
        </w:rPr>
        <w:t>Reminders:</w:t>
      </w:r>
    </w:p>
    <w:p w14:paraId="42FA4E78" w14:textId="77777777" w:rsidR="00F27E3B" w:rsidRPr="00DC01CA" w:rsidRDefault="00F27E3B" w:rsidP="00DC01CA">
      <w:pPr>
        <w:pStyle w:val="ListParagraph"/>
        <w:numPr>
          <w:ilvl w:val="0"/>
          <w:numId w:val="39"/>
        </w:numPr>
        <w:spacing w:line="360" w:lineRule="auto"/>
        <w:rPr>
          <w:b/>
          <w:bCs/>
        </w:rPr>
      </w:pPr>
      <w:r w:rsidRPr="00F27E3B">
        <w:rPr>
          <w:bCs/>
        </w:rPr>
        <w:t xml:space="preserve">The Shared Services Center will request that the Department of Accounts process a mass transaction to add the auto-pay status for all nine-month faculty with a contract length of “09” on screen H0BUO and an employment status of “1” on screen H0BES. </w:t>
      </w:r>
      <w:r w:rsidRPr="00F27E3B">
        <w:rPr>
          <w:bCs/>
          <w:u w:val="single"/>
        </w:rPr>
        <w:t>Please refrain from certifying until you have confirmed the transactions are complete for your agency</w:t>
      </w:r>
      <w:r w:rsidRPr="00F27E3B">
        <w:rPr>
          <w:bCs/>
        </w:rPr>
        <w:t>.</w:t>
      </w:r>
    </w:p>
    <w:p w14:paraId="17A11D33" w14:textId="77777777" w:rsidR="00DC01CA" w:rsidRPr="00F27E3B" w:rsidRDefault="00DC01CA" w:rsidP="00DC01CA">
      <w:pPr>
        <w:pStyle w:val="ListParagraph"/>
        <w:spacing w:line="360" w:lineRule="auto"/>
        <w:ind w:left="360"/>
        <w:rPr>
          <w:b/>
          <w:bCs/>
        </w:rPr>
      </w:pPr>
    </w:p>
    <w:p w14:paraId="1AE9EB92" w14:textId="77777777" w:rsidR="0091459A" w:rsidRDefault="00F27E3B" w:rsidP="00DC01CA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spacing w:line="360" w:lineRule="auto"/>
        <w:rPr>
          <w:bCs/>
        </w:rPr>
      </w:pPr>
      <w:r>
        <w:rPr>
          <w:bCs/>
        </w:rPr>
        <w:t>T</w:t>
      </w:r>
      <w:r w:rsidR="004F245A" w:rsidRPr="00F27E3B">
        <w:rPr>
          <w:bCs/>
        </w:rPr>
        <w:t>he automated update from PMIS to CIPPS</w:t>
      </w:r>
      <w:r w:rsidR="005E705D" w:rsidRPr="00F27E3B">
        <w:rPr>
          <w:bCs/>
        </w:rPr>
        <w:t xml:space="preserve"> is in effect.  Salary/contract amounts must be entered in PMIS. A thorough review of these transactions is warranted.</w:t>
      </w:r>
    </w:p>
    <w:p w14:paraId="1AFF02CE" w14:textId="77777777" w:rsidR="00DC01CA" w:rsidRPr="00F27E3B" w:rsidRDefault="00DC01CA" w:rsidP="00DC01CA">
      <w:pPr>
        <w:pStyle w:val="Header"/>
        <w:tabs>
          <w:tab w:val="clear" w:pos="4320"/>
          <w:tab w:val="clear" w:pos="8640"/>
        </w:tabs>
        <w:spacing w:line="360" w:lineRule="auto"/>
        <w:rPr>
          <w:bCs/>
        </w:rPr>
      </w:pPr>
    </w:p>
    <w:p w14:paraId="441B463E" w14:textId="77777777" w:rsidR="005F2D77" w:rsidRDefault="005F2D77" w:rsidP="00DC01CA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spacing w:line="360" w:lineRule="auto"/>
        <w:rPr>
          <w:iCs/>
        </w:rPr>
      </w:pPr>
      <w:r w:rsidRPr="00F27E3B">
        <w:rPr>
          <w:iCs/>
        </w:rPr>
        <w:t>ORP (Optional Retirement Plan) deductions</w:t>
      </w:r>
      <w:r w:rsidR="00ED38FB" w:rsidRPr="00F27E3B">
        <w:rPr>
          <w:iCs/>
        </w:rPr>
        <w:t xml:space="preserve"> (009, 014, 109, and 114)</w:t>
      </w:r>
      <w:r w:rsidRPr="00F27E3B">
        <w:rPr>
          <w:iCs/>
        </w:rPr>
        <w:t xml:space="preserve"> resume</w:t>
      </w:r>
      <w:r w:rsidR="00F27E3B">
        <w:rPr>
          <w:iCs/>
        </w:rPr>
        <w:t>.</w:t>
      </w:r>
      <w:r w:rsidRPr="00F27E3B">
        <w:rPr>
          <w:iCs/>
        </w:rPr>
        <w:t xml:space="preserve"> </w:t>
      </w:r>
      <w:r w:rsidR="00ED38FB" w:rsidRPr="00F27E3B">
        <w:rPr>
          <w:iCs/>
        </w:rPr>
        <w:t>VRS related deductions resume with the September 1 – September 15 pay period.</w:t>
      </w:r>
    </w:p>
    <w:p w14:paraId="65629535" w14:textId="77777777" w:rsidR="00DC01CA" w:rsidRPr="00F27E3B" w:rsidRDefault="00DC01CA" w:rsidP="00DC01CA">
      <w:pPr>
        <w:pStyle w:val="Header"/>
        <w:tabs>
          <w:tab w:val="clear" w:pos="4320"/>
          <w:tab w:val="clear" w:pos="8640"/>
        </w:tabs>
        <w:spacing w:line="360" w:lineRule="auto"/>
        <w:rPr>
          <w:iCs/>
        </w:rPr>
      </w:pPr>
    </w:p>
    <w:p w14:paraId="1203068C" w14:textId="77777777" w:rsidR="00DC01CA" w:rsidRPr="00DC01CA" w:rsidRDefault="009975EB" w:rsidP="00DC01CA">
      <w:pPr>
        <w:pStyle w:val="Default"/>
        <w:numPr>
          <w:ilvl w:val="0"/>
          <w:numId w:val="39"/>
        </w:numPr>
        <w:spacing w:line="360" w:lineRule="auto"/>
      </w:pPr>
      <w:r w:rsidRPr="00DC01CA">
        <w:rPr>
          <w:iCs/>
        </w:rPr>
        <w:t xml:space="preserve">With the Automated Healthcare reconciliation process, excess healthcare premiums collected will be reflected </w:t>
      </w:r>
      <w:r w:rsidR="00D94A8F">
        <w:rPr>
          <w:iCs/>
        </w:rPr>
        <w:t>i</w:t>
      </w:r>
      <w:r w:rsidRPr="00DC01CA">
        <w:rPr>
          <w:iCs/>
        </w:rPr>
        <w:t>n the Monthly Healthcar</w:t>
      </w:r>
      <w:r w:rsidR="00EB63BD" w:rsidRPr="00DC01CA">
        <w:rPr>
          <w:iCs/>
        </w:rPr>
        <w:t>e Reconciliation Summary (U1</w:t>
      </w:r>
      <w:r w:rsidR="002A23F6" w:rsidRPr="00DC01CA">
        <w:rPr>
          <w:iCs/>
        </w:rPr>
        <w:t>07</w:t>
      </w:r>
      <w:r w:rsidR="00EB63BD" w:rsidRPr="00DC01CA">
        <w:rPr>
          <w:iCs/>
        </w:rPr>
        <w:t xml:space="preserve">). </w:t>
      </w:r>
      <w:r w:rsidR="00D94A8F">
        <w:rPr>
          <w:iCs/>
        </w:rPr>
        <w:t>T</w:t>
      </w:r>
      <w:r w:rsidR="00973A12" w:rsidRPr="00DC01CA">
        <w:rPr>
          <w:iCs/>
        </w:rPr>
        <w:t>o receive credit for excess premiums, t</w:t>
      </w:r>
      <w:r w:rsidR="00EB63BD" w:rsidRPr="00DC01CA">
        <w:rPr>
          <w:iCs/>
        </w:rPr>
        <w:t>he college must</w:t>
      </w:r>
      <w:r w:rsidR="00973A12" w:rsidRPr="00DC01CA">
        <w:rPr>
          <w:iCs/>
        </w:rPr>
        <w:t xml:space="preserve"> </w:t>
      </w:r>
      <w:r w:rsidR="00EB63BD" w:rsidRPr="00DC01CA">
        <w:rPr>
          <w:sz w:val="23"/>
          <w:szCs w:val="23"/>
        </w:rPr>
        <w:t xml:space="preserve">complete the GL Journal Spreadsheet Upload Excel Template with the appropriate coding and submit the GL Spreadsheet Journal text file to </w:t>
      </w:r>
      <w:r w:rsidR="007B5F8B" w:rsidRPr="00DC01CA">
        <w:rPr>
          <w:sz w:val="23"/>
          <w:szCs w:val="23"/>
        </w:rPr>
        <w:t>DOA</w:t>
      </w:r>
      <w:r w:rsidR="00DC01CA" w:rsidRPr="00DC01CA">
        <w:rPr>
          <w:sz w:val="23"/>
          <w:szCs w:val="23"/>
        </w:rPr>
        <w:t>.</w:t>
      </w:r>
    </w:p>
    <w:p w14:paraId="191ED8BE" w14:textId="77777777" w:rsidR="00DC01CA" w:rsidRDefault="00DC01CA" w:rsidP="00DC01CA">
      <w:pPr>
        <w:pStyle w:val="Default"/>
        <w:spacing w:line="360" w:lineRule="auto"/>
      </w:pPr>
    </w:p>
    <w:p w14:paraId="4F6DA71F" w14:textId="77777777" w:rsidR="006F383B" w:rsidRPr="00DC01CA" w:rsidRDefault="006F383B" w:rsidP="00DC01CA">
      <w:pPr>
        <w:pStyle w:val="Heading7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Style w:val="BookTitle"/>
          <w:b/>
          <w:bCs/>
        </w:rPr>
      </w:pPr>
      <w:r w:rsidRPr="00DC01CA">
        <w:rPr>
          <w:rStyle w:val="BookTitle"/>
          <w:b/>
        </w:rPr>
        <w:lastRenderedPageBreak/>
        <w:t>SEPTEMBER 1 – SEPTEMBER 15</w:t>
      </w:r>
    </w:p>
    <w:p w14:paraId="3CB12FA5" w14:textId="77777777" w:rsidR="00BE0612" w:rsidRDefault="00BE0612" w:rsidP="00A06A65">
      <w:pPr>
        <w:pStyle w:val="Header"/>
        <w:tabs>
          <w:tab w:val="clear" w:pos="4320"/>
          <w:tab w:val="clear" w:pos="8640"/>
        </w:tabs>
        <w:spacing w:line="360" w:lineRule="auto"/>
      </w:pPr>
    </w:p>
    <w:p w14:paraId="747DAF8B" w14:textId="77777777" w:rsidR="00D65618" w:rsidRDefault="00D65618" w:rsidP="00167E49">
      <w:pPr>
        <w:spacing w:line="360" w:lineRule="auto"/>
        <w:contextualSpacing/>
        <w:rPr>
          <w:b/>
          <w:bCs/>
          <w:i/>
          <w:iCs/>
        </w:rPr>
      </w:pPr>
      <w:r>
        <w:rPr>
          <w:b/>
          <w:bCs/>
          <w:iCs/>
        </w:rPr>
        <w:t>Health Care</w:t>
      </w:r>
      <w:r>
        <w:rPr>
          <w:b/>
          <w:bCs/>
          <w:i/>
          <w:iCs/>
        </w:rPr>
        <w:t>:</w:t>
      </w:r>
    </w:p>
    <w:p w14:paraId="14C46933" w14:textId="77777777" w:rsidR="00167E49" w:rsidRPr="00167E49" w:rsidRDefault="00D65618" w:rsidP="00167E49">
      <w:pPr>
        <w:numPr>
          <w:ilvl w:val="0"/>
          <w:numId w:val="40"/>
        </w:numPr>
        <w:spacing w:line="480" w:lineRule="auto"/>
        <w:contextualSpacing/>
        <w:rPr>
          <w:b/>
          <w:bCs/>
        </w:rPr>
      </w:pPr>
      <w:r w:rsidRPr="00167E49">
        <w:rPr>
          <w:bCs/>
        </w:rPr>
        <w:t>Normal deductions resume.</w:t>
      </w:r>
    </w:p>
    <w:p w14:paraId="4E048D30" w14:textId="77777777" w:rsidR="009975EB" w:rsidRDefault="00D65618" w:rsidP="00167E49">
      <w:pPr>
        <w:pStyle w:val="Header"/>
        <w:tabs>
          <w:tab w:val="clear" w:pos="4320"/>
          <w:tab w:val="clear" w:pos="8640"/>
        </w:tabs>
        <w:spacing w:line="480" w:lineRule="auto"/>
        <w:contextualSpacing/>
        <w:rPr>
          <w:b/>
          <w:bCs/>
        </w:rPr>
      </w:pPr>
      <w:r>
        <w:rPr>
          <w:b/>
          <w:bCs/>
        </w:rPr>
        <w:t>Retirement</w:t>
      </w:r>
      <w:r w:rsidR="00BE0602">
        <w:rPr>
          <w:b/>
          <w:bCs/>
        </w:rPr>
        <w:t>:</w:t>
      </w:r>
    </w:p>
    <w:p w14:paraId="1FA9451A" w14:textId="2A49EB9A" w:rsidR="00167E49" w:rsidRPr="00167E49" w:rsidRDefault="00D65618" w:rsidP="00167E49">
      <w:pPr>
        <w:pStyle w:val="Header"/>
        <w:numPr>
          <w:ilvl w:val="0"/>
          <w:numId w:val="41"/>
        </w:numPr>
        <w:tabs>
          <w:tab w:val="clear" w:pos="4320"/>
          <w:tab w:val="clear" w:pos="8640"/>
        </w:tabs>
        <w:spacing w:line="480" w:lineRule="auto"/>
        <w:contextualSpacing/>
        <w:rPr>
          <w:bCs/>
        </w:rPr>
      </w:pPr>
      <w:r w:rsidRPr="00167E49">
        <w:rPr>
          <w:bCs/>
        </w:rPr>
        <w:t>Normal</w:t>
      </w:r>
      <w:r w:rsidR="008F6ECA" w:rsidRPr="00167E49">
        <w:rPr>
          <w:bCs/>
        </w:rPr>
        <w:t xml:space="preserve"> deductions will resume for all VRS related deductions based on the </w:t>
      </w:r>
      <w:r w:rsidR="00093F73" w:rsidRPr="00167E49">
        <w:rPr>
          <w:bCs/>
        </w:rPr>
        <w:t>start</w:t>
      </w:r>
      <w:r w:rsidR="008F6ECA" w:rsidRPr="00167E49">
        <w:rPr>
          <w:bCs/>
        </w:rPr>
        <w:t xml:space="preserve"> date on HMCU1 (September 1, </w:t>
      </w:r>
      <w:r w:rsidR="00AA1D6F" w:rsidRPr="00167E49">
        <w:rPr>
          <w:bCs/>
        </w:rPr>
        <w:t>202</w:t>
      </w:r>
      <w:r w:rsidR="00F01F8A">
        <w:rPr>
          <w:bCs/>
        </w:rPr>
        <w:t>1</w:t>
      </w:r>
      <w:r w:rsidR="008F6ECA" w:rsidRPr="00167E49">
        <w:rPr>
          <w:bCs/>
        </w:rPr>
        <w:t>).</w:t>
      </w:r>
    </w:p>
    <w:p w14:paraId="3BCCC80B" w14:textId="77777777" w:rsidR="00D65618" w:rsidRPr="009E5B8B" w:rsidRDefault="00D65618" w:rsidP="00167E49">
      <w:pPr>
        <w:spacing w:line="480" w:lineRule="auto"/>
        <w:contextualSpacing/>
        <w:rPr>
          <w:b/>
          <w:bCs/>
        </w:rPr>
      </w:pPr>
      <w:r>
        <w:rPr>
          <w:b/>
          <w:bCs/>
        </w:rPr>
        <w:t>Group Life Insurance:</w:t>
      </w:r>
    </w:p>
    <w:p w14:paraId="3A23206B" w14:textId="77777777" w:rsidR="00167E49" w:rsidRPr="00167E49" w:rsidRDefault="00D65618" w:rsidP="00465E84">
      <w:pPr>
        <w:numPr>
          <w:ilvl w:val="0"/>
          <w:numId w:val="42"/>
        </w:numPr>
        <w:spacing w:line="480" w:lineRule="auto"/>
        <w:contextualSpacing/>
        <w:rPr>
          <w:bCs/>
          <w:u w:val="single"/>
        </w:rPr>
      </w:pPr>
      <w:r w:rsidRPr="00167E49">
        <w:rPr>
          <w:color w:val="000000"/>
        </w:rPr>
        <w:t>Normal deductions resume.</w:t>
      </w:r>
    </w:p>
    <w:p w14:paraId="709F7B37" w14:textId="77777777" w:rsidR="00D65618" w:rsidRDefault="00D65618" w:rsidP="00167E49">
      <w:pPr>
        <w:spacing w:line="480" w:lineRule="auto"/>
        <w:contextualSpacing/>
        <w:rPr>
          <w:b/>
          <w:bCs/>
          <w:i/>
          <w:iCs/>
        </w:rPr>
      </w:pPr>
      <w:r>
        <w:rPr>
          <w:b/>
          <w:bCs/>
          <w:iCs/>
        </w:rPr>
        <w:t>Optional Life Insurance</w:t>
      </w:r>
      <w:r>
        <w:rPr>
          <w:b/>
          <w:bCs/>
          <w:i/>
          <w:iCs/>
        </w:rPr>
        <w:t>:</w:t>
      </w:r>
    </w:p>
    <w:p w14:paraId="3146DEB9" w14:textId="77777777" w:rsidR="00167E49" w:rsidRPr="00167E49" w:rsidRDefault="00D65618" w:rsidP="00167E49">
      <w:pPr>
        <w:numPr>
          <w:ilvl w:val="0"/>
          <w:numId w:val="43"/>
        </w:numPr>
        <w:spacing w:line="480" w:lineRule="auto"/>
        <w:contextualSpacing/>
        <w:rPr>
          <w:bCs/>
          <w:u w:val="single"/>
        </w:rPr>
      </w:pPr>
      <w:r w:rsidRPr="00167E49">
        <w:rPr>
          <w:color w:val="000000"/>
        </w:rPr>
        <w:t>Normal deductions resume.</w:t>
      </w:r>
    </w:p>
    <w:p w14:paraId="06DB2EDC" w14:textId="77777777" w:rsidR="00D65618" w:rsidRPr="00D131F5" w:rsidRDefault="00D65618" w:rsidP="00167E49">
      <w:pPr>
        <w:pStyle w:val="Heading2"/>
        <w:spacing w:line="480" w:lineRule="auto"/>
        <w:ind w:left="0"/>
        <w:contextualSpacing/>
        <w:rPr>
          <w:i w:val="0"/>
        </w:rPr>
      </w:pPr>
      <w:r w:rsidRPr="00D131F5">
        <w:rPr>
          <w:i w:val="0"/>
        </w:rPr>
        <w:t xml:space="preserve">VRS </w:t>
      </w:r>
      <w:r>
        <w:rPr>
          <w:i w:val="0"/>
        </w:rPr>
        <w:t>Buy Back:</w:t>
      </w:r>
    </w:p>
    <w:p w14:paraId="21A1649F" w14:textId="77777777" w:rsidR="00167E49" w:rsidRPr="00B51A7C" w:rsidRDefault="00D65618" w:rsidP="00B51A7C">
      <w:pPr>
        <w:numPr>
          <w:ilvl w:val="0"/>
          <w:numId w:val="44"/>
        </w:numPr>
        <w:spacing w:line="480" w:lineRule="auto"/>
        <w:contextualSpacing/>
        <w:rPr>
          <w:bCs/>
          <w:u w:val="single"/>
        </w:rPr>
      </w:pPr>
      <w:r w:rsidRPr="00B51A7C">
        <w:rPr>
          <w:color w:val="000000"/>
        </w:rPr>
        <w:t>Normal deductions resume.</w:t>
      </w:r>
    </w:p>
    <w:p w14:paraId="479DF22A" w14:textId="77777777" w:rsidR="00D65618" w:rsidRDefault="00D65618" w:rsidP="00B51A7C">
      <w:pPr>
        <w:spacing w:line="480" w:lineRule="auto"/>
        <w:contextualSpacing/>
        <w:rPr>
          <w:b/>
          <w:bCs/>
          <w:i/>
          <w:iCs/>
        </w:rPr>
      </w:pPr>
      <w:r w:rsidRPr="00D131F5">
        <w:rPr>
          <w:b/>
          <w:bCs/>
          <w:iCs/>
        </w:rPr>
        <w:t>UNUM</w:t>
      </w:r>
      <w:r>
        <w:rPr>
          <w:b/>
          <w:bCs/>
          <w:i/>
          <w:iCs/>
        </w:rPr>
        <w:t>:</w:t>
      </w:r>
    </w:p>
    <w:p w14:paraId="11601D43" w14:textId="77777777" w:rsidR="00D65618" w:rsidRPr="009E5B8B" w:rsidRDefault="00D65618" w:rsidP="00167E49">
      <w:pPr>
        <w:numPr>
          <w:ilvl w:val="0"/>
          <w:numId w:val="45"/>
        </w:numPr>
        <w:spacing w:line="360" w:lineRule="auto"/>
        <w:contextualSpacing/>
        <w:rPr>
          <w:bCs/>
          <w:u w:val="single"/>
        </w:rPr>
      </w:pPr>
      <w:r w:rsidRPr="00DC01CA">
        <w:rPr>
          <w:color w:val="000000"/>
        </w:rPr>
        <w:t>Normal deductions resume.</w:t>
      </w:r>
    </w:p>
    <w:sectPr w:rsidR="00D65618" w:rsidRPr="009E5B8B" w:rsidSect="00B0632A">
      <w:headerReference w:type="default" r:id="rId8"/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1ACB" w14:textId="77777777" w:rsidR="0013219F" w:rsidRDefault="0013219F">
      <w:r>
        <w:separator/>
      </w:r>
    </w:p>
  </w:endnote>
  <w:endnote w:type="continuationSeparator" w:id="0">
    <w:p w14:paraId="5CFC1A0B" w14:textId="77777777" w:rsidR="0013219F" w:rsidRDefault="0013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2E87" w14:textId="77777777" w:rsidR="00171576" w:rsidRDefault="001715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6CFFA" w14:textId="77777777" w:rsidR="00171576" w:rsidRDefault="001715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D2E2" w14:textId="77777777" w:rsidR="00171576" w:rsidRDefault="00171576">
    <w:pPr>
      <w:pStyle w:val="Footer"/>
      <w:framePr w:wrap="around" w:vAnchor="text" w:hAnchor="margin" w:xAlign="right" w:y="1"/>
      <w:rPr>
        <w:rStyle w:val="PageNumber"/>
      </w:rPr>
    </w:pPr>
  </w:p>
  <w:p w14:paraId="48BB0FCD" w14:textId="77777777" w:rsidR="00171576" w:rsidRDefault="001715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6948" w14:textId="77777777" w:rsidR="0013219F" w:rsidRDefault="0013219F">
      <w:r>
        <w:separator/>
      </w:r>
    </w:p>
  </w:footnote>
  <w:footnote w:type="continuationSeparator" w:id="0">
    <w:p w14:paraId="2308B13B" w14:textId="77777777" w:rsidR="0013219F" w:rsidRDefault="0013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95EE" w14:textId="77777777" w:rsidR="00171576" w:rsidRDefault="00D131F5">
    <w:pPr>
      <w:pStyle w:val="Header"/>
    </w:pPr>
    <w:r>
      <w:tab/>
    </w:r>
    <w:r>
      <w:tab/>
    </w:r>
    <w:r w:rsidR="00171576">
      <w:t xml:space="preserve">Page </w:t>
    </w:r>
    <w:r w:rsidR="00171576">
      <w:fldChar w:fldCharType="begin"/>
    </w:r>
    <w:r w:rsidR="00171576">
      <w:instrText xml:space="preserve"> PAGE </w:instrText>
    </w:r>
    <w:r w:rsidR="00171576">
      <w:fldChar w:fldCharType="separate"/>
    </w:r>
    <w:r w:rsidR="00D94A8F">
      <w:rPr>
        <w:noProof/>
      </w:rPr>
      <w:t>7</w:t>
    </w:r>
    <w:r w:rsidR="00171576">
      <w:rPr>
        <w:noProof/>
      </w:rPr>
      <w:fldChar w:fldCharType="end"/>
    </w:r>
    <w:r w:rsidR="00171576">
      <w:t xml:space="preserve"> of </w:t>
    </w:r>
    <w:r w:rsidR="00B0632A">
      <w:fldChar w:fldCharType="begin"/>
    </w:r>
    <w:r w:rsidR="00B0632A">
      <w:instrText xml:space="preserve"> NUMPAGES </w:instrText>
    </w:r>
    <w:r w:rsidR="00B0632A">
      <w:fldChar w:fldCharType="separate"/>
    </w:r>
    <w:r w:rsidR="00D94A8F">
      <w:rPr>
        <w:noProof/>
      </w:rPr>
      <w:t>7</w:t>
    </w:r>
    <w:r w:rsidR="00B0632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487"/>
    <w:multiLevelType w:val="hybridMultilevel"/>
    <w:tmpl w:val="96B407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C06C1"/>
    <w:multiLevelType w:val="hybridMultilevel"/>
    <w:tmpl w:val="AA1A2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2F37"/>
    <w:multiLevelType w:val="hybridMultilevel"/>
    <w:tmpl w:val="2E143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E5B3D"/>
    <w:multiLevelType w:val="hybridMultilevel"/>
    <w:tmpl w:val="E884C2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7651E"/>
    <w:multiLevelType w:val="hybridMultilevel"/>
    <w:tmpl w:val="EB7EE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044D0"/>
    <w:multiLevelType w:val="hybridMultilevel"/>
    <w:tmpl w:val="66740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968ED"/>
    <w:multiLevelType w:val="hybridMultilevel"/>
    <w:tmpl w:val="1BDC22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D52B8"/>
    <w:multiLevelType w:val="hybridMultilevel"/>
    <w:tmpl w:val="2236D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27687"/>
    <w:multiLevelType w:val="hybridMultilevel"/>
    <w:tmpl w:val="EC62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65F71"/>
    <w:multiLevelType w:val="hybridMultilevel"/>
    <w:tmpl w:val="6FC41B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F1B17"/>
    <w:multiLevelType w:val="hybridMultilevel"/>
    <w:tmpl w:val="E6FCC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20D08"/>
    <w:multiLevelType w:val="hybridMultilevel"/>
    <w:tmpl w:val="3740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703999"/>
    <w:multiLevelType w:val="hybridMultilevel"/>
    <w:tmpl w:val="C0C85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936CFC"/>
    <w:multiLevelType w:val="hybridMultilevel"/>
    <w:tmpl w:val="83BE89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2486C"/>
    <w:multiLevelType w:val="hybridMultilevel"/>
    <w:tmpl w:val="3482E4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246E9"/>
    <w:multiLevelType w:val="hybridMultilevel"/>
    <w:tmpl w:val="31EED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504157"/>
    <w:multiLevelType w:val="hybridMultilevel"/>
    <w:tmpl w:val="CD9C902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FC720A"/>
    <w:multiLevelType w:val="hybridMultilevel"/>
    <w:tmpl w:val="8482D0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B56D4"/>
    <w:multiLevelType w:val="hybridMultilevel"/>
    <w:tmpl w:val="90EE7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87D64"/>
    <w:multiLevelType w:val="hybridMultilevel"/>
    <w:tmpl w:val="6D942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27858"/>
    <w:multiLevelType w:val="hybridMultilevel"/>
    <w:tmpl w:val="2B98E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331D7F"/>
    <w:multiLevelType w:val="hybridMultilevel"/>
    <w:tmpl w:val="747AE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339F4"/>
    <w:multiLevelType w:val="hybridMultilevel"/>
    <w:tmpl w:val="F98871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9702E"/>
    <w:multiLevelType w:val="hybridMultilevel"/>
    <w:tmpl w:val="C9A8E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387"/>
    <w:multiLevelType w:val="hybridMultilevel"/>
    <w:tmpl w:val="09A0A8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F63EBC"/>
    <w:multiLevelType w:val="hybridMultilevel"/>
    <w:tmpl w:val="BB58AC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F1549"/>
    <w:multiLevelType w:val="hybridMultilevel"/>
    <w:tmpl w:val="710C5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CE3340"/>
    <w:multiLevelType w:val="hybridMultilevel"/>
    <w:tmpl w:val="B514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B5E62"/>
    <w:multiLevelType w:val="hybridMultilevel"/>
    <w:tmpl w:val="3C4EF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BD0666"/>
    <w:multiLevelType w:val="hybridMultilevel"/>
    <w:tmpl w:val="2A1E33B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3A48EE"/>
    <w:multiLevelType w:val="hybridMultilevel"/>
    <w:tmpl w:val="477CAF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FD3746"/>
    <w:multiLevelType w:val="hybridMultilevel"/>
    <w:tmpl w:val="7A28AE0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B050E"/>
    <w:multiLevelType w:val="hybridMultilevel"/>
    <w:tmpl w:val="3DC2C5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F96E43"/>
    <w:multiLevelType w:val="hybridMultilevel"/>
    <w:tmpl w:val="7A5CB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E8122B"/>
    <w:multiLevelType w:val="hybridMultilevel"/>
    <w:tmpl w:val="547A4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1C07C2"/>
    <w:multiLevelType w:val="hybridMultilevel"/>
    <w:tmpl w:val="B8EA977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870A44"/>
    <w:multiLevelType w:val="hybridMultilevel"/>
    <w:tmpl w:val="F6BE9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AE5C06"/>
    <w:multiLevelType w:val="hybridMultilevel"/>
    <w:tmpl w:val="1D6A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A514A"/>
    <w:multiLevelType w:val="hybridMultilevel"/>
    <w:tmpl w:val="AE441D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104AA"/>
    <w:multiLevelType w:val="hybridMultilevel"/>
    <w:tmpl w:val="53160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0F3A91"/>
    <w:multiLevelType w:val="hybridMultilevel"/>
    <w:tmpl w:val="290284E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D34458"/>
    <w:multiLevelType w:val="hybridMultilevel"/>
    <w:tmpl w:val="2D0CB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AE0F13"/>
    <w:multiLevelType w:val="hybridMultilevel"/>
    <w:tmpl w:val="E028E5F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761740"/>
    <w:multiLevelType w:val="hybridMultilevel"/>
    <w:tmpl w:val="5DE0BC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F65BA3"/>
    <w:multiLevelType w:val="hybridMultilevel"/>
    <w:tmpl w:val="74A2F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5"/>
  </w:num>
  <w:num w:numId="4">
    <w:abstractNumId w:val="25"/>
  </w:num>
  <w:num w:numId="5">
    <w:abstractNumId w:val="38"/>
  </w:num>
  <w:num w:numId="6">
    <w:abstractNumId w:val="14"/>
  </w:num>
  <w:num w:numId="7">
    <w:abstractNumId w:val="7"/>
  </w:num>
  <w:num w:numId="8">
    <w:abstractNumId w:val="37"/>
  </w:num>
  <w:num w:numId="9">
    <w:abstractNumId w:val="11"/>
  </w:num>
  <w:num w:numId="10">
    <w:abstractNumId w:val="21"/>
  </w:num>
  <w:num w:numId="11">
    <w:abstractNumId w:val="15"/>
  </w:num>
  <w:num w:numId="12">
    <w:abstractNumId w:val="2"/>
  </w:num>
  <w:num w:numId="13">
    <w:abstractNumId w:val="12"/>
  </w:num>
  <w:num w:numId="14">
    <w:abstractNumId w:val="1"/>
  </w:num>
  <w:num w:numId="15">
    <w:abstractNumId w:val="43"/>
  </w:num>
  <w:num w:numId="16">
    <w:abstractNumId w:val="16"/>
  </w:num>
  <w:num w:numId="17">
    <w:abstractNumId w:val="29"/>
  </w:num>
  <w:num w:numId="18">
    <w:abstractNumId w:val="17"/>
  </w:num>
  <w:num w:numId="19">
    <w:abstractNumId w:val="41"/>
  </w:num>
  <w:num w:numId="20">
    <w:abstractNumId w:val="30"/>
  </w:num>
  <w:num w:numId="21">
    <w:abstractNumId w:val="35"/>
  </w:num>
  <w:num w:numId="22">
    <w:abstractNumId w:val="34"/>
  </w:num>
  <w:num w:numId="23">
    <w:abstractNumId w:val="9"/>
  </w:num>
  <w:num w:numId="24">
    <w:abstractNumId w:val="28"/>
  </w:num>
  <w:num w:numId="25">
    <w:abstractNumId w:val="3"/>
  </w:num>
  <w:num w:numId="26">
    <w:abstractNumId w:val="42"/>
  </w:num>
  <w:num w:numId="27">
    <w:abstractNumId w:val="40"/>
  </w:num>
  <w:num w:numId="28">
    <w:abstractNumId w:val="33"/>
  </w:num>
  <w:num w:numId="29">
    <w:abstractNumId w:val="8"/>
  </w:num>
  <w:num w:numId="30">
    <w:abstractNumId w:val="19"/>
  </w:num>
  <w:num w:numId="31">
    <w:abstractNumId w:val="10"/>
  </w:num>
  <w:num w:numId="32">
    <w:abstractNumId w:val="26"/>
  </w:num>
  <w:num w:numId="33">
    <w:abstractNumId w:val="23"/>
  </w:num>
  <w:num w:numId="34">
    <w:abstractNumId w:val="27"/>
  </w:num>
  <w:num w:numId="35">
    <w:abstractNumId w:val="36"/>
  </w:num>
  <w:num w:numId="36">
    <w:abstractNumId w:val="31"/>
  </w:num>
  <w:num w:numId="37">
    <w:abstractNumId w:val="32"/>
  </w:num>
  <w:num w:numId="38">
    <w:abstractNumId w:val="0"/>
  </w:num>
  <w:num w:numId="39">
    <w:abstractNumId w:val="18"/>
  </w:num>
  <w:num w:numId="40">
    <w:abstractNumId w:val="4"/>
  </w:num>
  <w:num w:numId="41">
    <w:abstractNumId w:val="6"/>
  </w:num>
  <w:num w:numId="42">
    <w:abstractNumId w:val="44"/>
  </w:num>
  <w:num w:numId="43">
    <w:abstractNumId w:val="13"/>
  </w:num>
  <w:num w:numId="44">
    <w:abstractNumId w:val="22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IwMjQwMzIzMja1NDZU0lEKTi0uzszPAykwqgUAVHMx2iwAAAA="/>
  </w:docVars>
  <w:rsids>
    <w:rsidRoot w:val="009E0142"/>
    <w:rsid w:val="000106E7"/>
    <w:rsid w:val="00013F6B"/>
    <w:rsid w:val="000200DF"/>
    <w:rsid w:val="00040AB8"/>
    <w:rsid w:val="00046656"/>
    <w:rsid w:val="000668BD"/>
    <w:rsid w:val="00082ED5"/>
    <w:rsid w:val="0008346A"/>
    <w:rsid w:val="00090B79"/>
    <w:rsid w:val="00093362"/>
    <w:rsid w:val="00093F73"/>
    <w:rsid w:val="00094234"/>
    <w:rsid w:val="00097FDF"/>
    <w:rsid w:val="000B20FC"/>
    <w:rsid w:val="000C0604"/>
    <w:rsid w:val="000E16B1"/>
    <w:rsid w:val="0011372E"/>
    <w:rsid w:val="00113C1D"/>
    <w:rsid w:val="00121F0C"/>
    <w:rsid w:val="00125FF9"/>
    <w:rsid w:val="00130672"/>
    <w:rsid w:val="0013219F"/>
    <w:rsid w:val="00142EEB"/>
    <w:rsid w:val="00163E21"/>
    <w:rsid w:val="00167E49"/>
    <w:rsid w:val="00171576"/>
    <w:rsid w:val="00172994"/>
    <w:rsid w:val="001738C1"/>
    <w:rsid w:val="001C003E"/>
    <w:rsid w:val="001C09D3"/>
    <w:rsid w:val="001E14DE"/>
    <w:rsid w:val="0021204E"/>
    <w:rsid w:val="0024024C"/>
    <w:rsid w:val="00240525"/>
    <w:rsid w:val="002422AD"/>
    <w:rsid w:val="00243BED"/>
    <w:rsid w:val="00245EE2"/>
    <w:rsid w:val="00250686"/>
    <w:rsid w:val="002615D6"/>
    <w:rsid w:val="002A23F6"/>
    <w:rsid w:val="002A4FC5"/>
    <w:rsid w:val="002B23CA"/>
    <w:rsid w:val="002B5B47"/>
    <w:rsid w:val="002C5962"/>
    <w:rsid w:val="002C77CD"/>
    <w:rsid w:val="002D1777"/>
    <w:rsid w:val="002D31D8"/>
    <w:rsid w:val="002D61BE"/>
    <w:rsid w:val="002F4E0D"/>
    <w:rsid w:val="002F6FD3"/>
    <w:rsid w:val="00303B34"/>
    <w:rsid w:val="00305688"/>
    <w:rsid w:val="00315A00"/>
    <w:rsid w:val="00331B99"/>
    <w:rsid w:val="00332D2D"/>
    <w:rsid w:val="0038134C"/>
    <w:rsid w:val="003A0A92"/>
    <w:rsid w:val="003A1B6C"/>
    <w:rsid w:val="003B5E44"/>
    <w:rsid w:val="003C2670"/>
    <w:rsid w:val="003E6C78"/>
    <w:rsid w:val="003F227B"/>
    <w:rsid w:val="00415C24"/>
    <w:rsid w:val="0043031B"/>
    <w:rsid w:val="00452BAE"/>
    <w:rsid w:val="00454C25"/>
    <w:rsid w:val="004742BC"/>
    <w:rsid w:val="00475A39"/>
    <w:rsid w:val="004967EB"/>
    <w:rsid w:val="004A2E0B"/>
    <w:rsid w:val="004B2A96"/>
    <w:rsid w:val="004D5E0D"/>
    <w:rsid w:val="004E428D"/>
    <w:rsid w:val="004E5850"/>
    <w:rsid w:val="004E660E"/>
    <w:rsid w:val="004F245A"/>
    <w:rsid w:val="004F59F3"/>
    <w:rsid w:val="00533518"/>
    <w:rsid w:val="00537E96"/>
    <w:rsid w:val="00540709"/>
    <w:rsid w:val="00541841"/>
    <w:rsid w:val="005452EF"/>
    <w:rsid w:val="00556E46"/>
    <w:rsid w:val="005711C9"/>
    <w:rsid w:val="00573608"/>
    <w:rsid w:val="00577B19"/>
    <w:rsid w:val="00591068"/>
    <w:rsid w:val="005A155A"/>
    <w:rsid w:val="005A6A4F"/>
    <w:rsid w:val="005B3CA0"/>
    <w:rsid w:val="005B3D30"/>
    <w:rsid w:val="005B454C"/>
    <w:rsid w:val="005D078D"/>
    <w:rsid w:val="005E2BE5"/>
    <w:rsid w:val="005E2F74"/>
    <w:rsid w:val="005E705D"/>
    <w:rsid w:val="005F2D77"/>
    <w:rsid w:val="005F628C"/>
    <w:rsid w:val="00601D05"/>
    <w:rsid w:val="00602A40"/>
    <w:rsid w:val="00632252"/>
    <w:rsid w:val="00632DD9"/>
    <w:rsid w:val="0063358F"/>
    <w:rsid w:val="00640931"/>
    <w:rsid w:val="006629CE"/>
    <w:rsid w:val="00671C5A"/>
    <w:rsid w:val="00674334"/>
    <w:rsid w:val="00683E14"/>
    <w:rsid w:val="0068662F"/>
    <w:rsid w:val="006919B6"/>
    <w:rsid w:val="00691C00"/>
    <w:rsid w:val="00692E30"/>
    <w:rsid w:val="0069518B"/>
    <w:rsid w:val="00697E1D"/>
    <w:rsid w:val="006A139E"/>
    <w:rsid w:val="006B6021"/>
    <w:rsid w:val="006C04DE"/>
    <w:rsid w:val="006C4BBF"/>
    <w:rsid w:val="006D31CB"/>
    <w:rsid w:val="006D3503"/>
    <w:rsid w:val="006F383B"/>
    <w:rsid w:val="006F3A21"/>
    <w:rsid w:val="00703BAD"/>
    <w:rsid w:val="0073582C"/>
    <w:rsid w:val="00735D2F"/>
    <w:rsid w:val="00736664"/>
    <w:rsid w:val="00751C75"/>
    <w:rsid w:val="007651FD"/>
    <w:rsid w:val="00771884"/>
    <w:rsid w:val="00771C49"/>
    <w:rsid w:val="00774D75"/>
    <w:rsid w:val="00785F6C"/>
    <w:rsid w:val="007978D6"/>
    <w:rsid w:val="007A01B2"/>
    <w:rsid w:val="007A28AC"/>
    <w:rsid w:val="007B4FBE"/>
    <w:rsid w:val="007B5F8B"/>
    <w:rsid w:val="007C6094"/>
    <w:rsid w:val="007E0193"/>
    <w:rsid w:val="007F0371"/>
    <w:rsid w:val="00800BFE"/>
    <w:rsid w:val="00803C7B"/>
    <w:rsid w:val="008055CB"/>
    <w:rsid w:val="008159F1"/>
    <w:rsid w:val="0083014C"/>
    <w:rsid w:val="008427CD"/>
    <w:rsid w:val="00843357"/>
    <w:rsid w:val="00860C9E"/>
    <w:rsid w:val="00862A03"/>
    <w:rsid w:val="008672F9"/>
    <w:rsid w:val="00877343"/>
    <w:rsid w:val="00882542"/>
    <w:rsid w:val="00897A4D"/>
    <w:rsid w:val="008A5F47"/>
    <w:rsid w:val="008B45E3"/>
    <w:rsid w:val="008B47F9"/>
    <w:rsid w:val="008B5874"/>
    <w:rsid w:val="008E29CE"/>
    <w:rsid w:val="008E4D6A"/>
    <w:rsid w:val="008E4DA5"/>
    <w:rsid w:val="008F6ECA"/>
    <w:rsid w:val="008F765B"/>
    <w:rsid w:val="00900808"/>
    <w:rsid w:val="00903482"/>
    <w:rsid w:val="0091459A"/>
    <w:rsid w:val="0092220B"/>
    <w:rsid w:val="0092388D"/>
    <w:rsid w:val="00951634"/>
    <w:rsid w:val="00951CDC"/>
    <w:rsid w:val="00973A12"/>
    <w:rsid w:val="0097416F"/>
    <w:rsid w:val="009744AA"/>
    <w:rsid w:val="00975DAD"/>
    <w:rsid w:val="00976B62"/>
    <w:rsid w:val="009928A5"/>
    <w:rsid w:val="00994A74"/>
    <w:rsid w:val="00996881"/>
    <w:rsid w:val="009975DF"/>
    <w:rsid w:val="009975EB"/>
    <w:rsid w:val="00997683"/>
    <w:rsid w:val="009A6222"/>
    <w:rsid w:val="009B2866"/>
    <w:rsid w:val="009B3842"/>
    <w:rsid w:val="009C66FF"/>
    <w:rsid w:val="009E0142"/>
    <w:rsid w:val="009E2389"/>
    <w:rsid w:val="009E5B8B"/>
    <w:rsid w:val="009F31F9"/>
    <w:rsid w:val="009F50F7"/>
    <w:rsid w:val="00A00FB3"/>
    <w:rsid w:val="00A06A65"/>
    <w:rsid w:val="00A11D71"/>
    <w:rsid w:val="00A12B0D"/>
    <w:rsid w:val="00A17552"/>
    <w:rsid w:val="00A24294"/>
    <w:rsid w:val="00A33A52"/>
    <w:rsid w:val="00A43487"/>
    <w:rsid w:val="00A44ECB"/>
    <w:rsid w:val="00A65BF5"/>
    <w:rsid w:val="00A664FC"/>
    <w:rsid w:val="00A90652"/>
    <w:rsid w:val="00A92493"/>
    <w:rsid w:val="00A927BB"/>
    <w:rsid w:val="00AA1D6F"/>
    <w:rsid w:val="00AA3707"/>
    <w:rsid w:val="00AC14C4"/>
    <w:rsid w:val="00AC5749"/>
    <w:rsid w:val="00AC7E7F"/>
    <w:rsid w:val="00AE00C6"/>
    <w:rsid w:val="00B0632A"/>
    <w:rsid w:val="00B22B6E"/>
    <w:rsid w:val="00B30060"/>
    <w:rsid w:val="00B45B91"/>
    <w:rsid w:val="00B51A7C"/>
    <w:rsid w:val="00B71D97"/>
    <w:rsid w:val="00B7290F"/>
    <w:rsid w:val="00B7440C"/>
    <w:rsid w:val="00B871A3"/>
    <w:rsid w:val="00B94812"/>
    <w:rsid w:val="00BA18A6"/>
    <w:rsid w:val="00BA3805"/>
    <w:rsid w:val="00BB4FBF"/>
    <w:rsid w:val="00BB7343"/>
    <w:rsid w:val="00BB7ACE"/>
    <w:rsid w:val="00BC152B"/>
    <w:rsid w:val="00BC7F43"/>
    <w:rsid w:val="00BD2DC9"/>
    <w:rsid w:val="00BD767B"/>
    <w:rsid w:val="00BE0570"/>
    <w:rsid w:val="00BE0602"/>
    <w:rsid w:val="00BE0612"/>
    <w:rsid w:val="00BE234D"/>
    <w:rsid w:val="00BF41C8"/>
    <w:rsid w:val="00BF50E8"/>
    <w:rsid w:val="00C06D69"/>
    <w:rsid w:val="00C10DBC"/>
    <w:rsid w:val="00C137C1"/>
    <w:rsid w:val="00C176B3"/>
    <w:rsid w:val="00C329F5"/>
    <w:rsid w:val="00C543F1"/>
    <w:rsid w:val="00C62A0D"/>
    <w:rsid w:val="00C7009E"/>
    <w:rsid w:val="00CA5565"/>
    <w:rsid w:val="00CA7508"/>
    <w:rsid w:val="00CB4152"/>
    <w:rsid w:val="00CD2D2B"/>
    <w:rsid w:val="00CE0A82"/>
    <w:rsid w:val="00CE40B7"/>
    <w:rsid w:val="00D131F5"/>
    <w:rsid w:val="00D1670C"/>
    <w:rsid w:val="00D20362"/>
    <w:rsid w:val="00D26A20"/>
    <w:rsid w:val="00D4441C"/>
    <w:rsid w:val="00D57485"/>
    <w:rsid w:val="00D604A0"/>
    <w:rsid w:val="00D65618"/>
    <w:rsid w:val="00D71DD0"/>
    <w:rsid w:val="00D840EC"/>
    <w:rsid w:val="00D94A8F"/>
    <w:rsid w:val="00D95856"/>
    <w:rsid w:val="00DB1F7D"/>
    <w:rsid w:val="00DC01CA"/>
    <w:rsid w:val="00DC7EC9"/>
    <w:rsid w:val="00DD431B"/>
    <w:rsid w:val="00DE4617"/>
    <w:rsid w:val="00DF5AAF"/>
    <w:rsid w:val="00E01B18"/>
    <w:rsid w:val="00E14F25"/>
    <w:rsid w:val="00E227E4"/>
    <w:rsid w:val="00E230F2"/>
    <w:rsid w:val="00E27A95"/>
    <w:rsid w:val="00E33081"/>
    <w:rsid w:val="00E45F55"/>
    <w:rsid w:val="00E550FE"/>
    <w:rsid w:val="00E575A0"/>
    <w:rsid w:val="00E62928"/>
    <w:rsid w:val="00E70B4A"/>
    <w:rsid w:val="00E87AA5"/>
    <w:rsid w:val="00EB63BD"/>
    <w:rsid w:val="00EB7F5F"/>
    <w:rsid w:val="00ED38FB"/>
    <w:rsid w:val="00EE07B5"/>
    <w:rsid w:val="00EF1D33"/>
    <w:rsid w:val="00F01F8A"/>
    <w:rsid w:val="00F120BA"/>
    <w:rsid w:val="00F27E3B"/>
    <w:rsid w:val="00F3029D"/>
    <w:rsid w:val="00F31072"/>
    <w:rsid w:val="00F37226"/>
    <w:rsid w:val="00F4102F"/>
    <w:rsid w:val="00F56580"/>
    <w:rsid w:val="00F567E7"/>
    <w:rsid w:val="00F80232"/>
    <w:rsid w:val="00F915D2"/>
    <w:rsid w:val="00FA7C8C"/>
    <w:rsid w:val="00FB6777"/>
    <w:rsid w:val="00FB774D"/>
    <w:rsid w:val="00FC327C"/>
    <w:rsid w:val="00FE5ECE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22BE4"/>
  <w15:docId w15:val="{381A05EE-20BF-4C60-91EA-49F7E78D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7E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7E4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27E4"/>
    <w:pPr>
      <w:keepNext/>
      <w:ind w:left="3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E227E4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E227E4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27E4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227E4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E227E4"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7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27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27E4"/>
  </w:style>
  <w:style w:type="paragraph" w:styleId="BodyTextIndent">
    <w:name w:val="Body Text Indent"/>
    <w:basedOn w:val="Normal"/>
    <w:rsid w:val="00E227E4"/>
    <w:pPr>
      <w:ind w:left="360"/>
    </w:pPr>
    <w:rPr>
      <w:i/>
      <w:iCs/>
    </w:rPr>
  </w:style>
  <w:style w:type="paragraph" w:styleId="BodyText">
    <w:name w:val="Body Text"/>
    <w:basedOn w:val="Normal"/>
    <w:rsid w:val="00E227E4"/>
    <w:rPr>
      <w:i/>
      <w:iCs/>
    </w:rPr>
  </w:style>
  <w:style w:type="paragraph" w:styleId="BalloonText">
    <w:name w:val="Balloon Text"/>
    <w:basedOn w:val="Normal"/>
    <w:semiHidden/>
    <w:rsid w:val="00774D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245EE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5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09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552"/>
    <w:pPr>
      <w:ind w:left="720"/>
      <w:contextualSpacing/>
    </w:pPr>
  </w:style>
  <w:style w:type="paragraph" w:customStyle="1" w:styleId="Default">
    <w:name w:val="Default"/>
    <w:rsid w:val="007A01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EE07B5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semiHidden/>
    <w:unhideWhenUsed/>
    <w:rsid w:val="00F01F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1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1F8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10492-2867-4523-ACE6-137E5773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1294</Words>
  <Characters>6945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</vt:lpstr>
    </vt:vector>
  </TitlesOfParts>
  <Company>VCCS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creator>Valued Gateway Client</dc:creator>
  <cp:lastModifiedBy>Adina Slyter</cp:lastModifiedBy>
  <cp:revision>2</cp:revision>
  <cp:lastPrinted>2018-04-16T13:27:00Z</cp:lastPrinted>
  <dcterms:created xsi:type="dcterms:W3CDTF">2021-04-29T12:43:00Z</dcterms:created>
  <dcterms:modified xsi:type="dcterms:W3CDTF">2021-04-29T12:43:00Z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1586713761</vt:i4>
  </property>
  <property fmtid="{D5CDD505-2E9C-101B-9397-08002B2CF9AE}" pid="3" name="_NewReviewCycle">
    <vt:lpwstr/>
  </property>
  <property fmtid="{D5CDD505-2E9C-101B-9397-08002B2CF9AE}" pid="4" name="_EmailEntryID">
    <vt:lpwstr>00000000EAD1D4A5F163C54589B0FB8008B017B1070020822E5D83CAC24AB07AAD9DA8E43BAD00000005BC66000085359313692B6E42AF0EE40DA519F35D000000DC530A0000</vt:lpwstr>
  </property>
</Properties>
</file>