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A8D42" w14:textId="77777777" w:rsidR="00EA0362" w:rsidRDefault="00EA0362">
      <w:pPr>
        <w:pStyle w:val="Header"/>
        <w:pBdr>
          <w:top w:val="single" w:sz="12" w:space="1" w:color="auto" w:shadow="1"/>
          <w:left w:val="single" w:sz="12" w:space="1" w:color="auto" w:shadow="1"/>
          <w:bottom w:val="single" w:sz="12" w:space="1" w:color="auto" w:shadow="1"/>
          <w:right w:val="single" w:sz="12" w:space="1" w:color="auto" w:shadow="1"/>
        </w:pBdr>
        <w:ind w:right="36"/>
        <w:jc w:val="center"/>
        <w:outlineLvl w:val="0"/>
        <w:rPr>
          <w:rFonts w:ascii="Arial" w:hAnsi="Arial"/>
          <w:b/>
          <w:i/>
          <w:sz w:val="36"/>
        </w:rPr>
      </w:pPr>
      <w:bookmarkStart w:id="0" w:name="_Toc401048299"/>
      <w:r>
        <w:rPr>
          <w:rFonts w:ascii="Arial" w:hAnsi="Arial"/>
          <w:b/>
          <w:i/>
          <w:sz w:val="36"/>
        </w:rPr>
        <w:t>Department of Accounts</w:t>
      </w:r>
    </w:p>
    <w:p w14:paraId="56B9E043" w14:textId="77777777" w:rsidR="00EA0362" w:rsidRDefault="00EA0362">
      <w:pPr>
        <w:pStyle w:val="Header"/>
        <w:pBdr>
          <w:top w:val="single" w:sz="12" w:space="1" w:color="auto" w:shadow="1"/>
          <w:left w:val="single" w:sz="12" w:space="1" w:color="auto" w:shadow="1"/>
          <w:bottom w:val="single" w:sz="12" w:space="1" w:color="auto" w:shadow="1"/>
          <w:right w:val="single" w:sz="12" w:space="1" w:color="auto" w:shadow="1"/>
        </w:pBdr>
        <w:ind w:right="36"/>
        <w:jc w:val="center"/>
        <w:outlineLvl w:val="0"/>
        <w:rPr>
          <w:rFonts w:ascii="Arial" w:hAnsi="Arial"/>
          <w:b/>
          <w:i/>
          <w:sz w:val="36"/>
        </w:rPr>
      </w:pPr>
      <w:r>
        <w:rPr>
          <w:rFonts w:ascii="Arial" w:hAnsi="Arial"/>
          <w:b/>
          <w:i/>
          <w:sz w:val="36"/>
        </w:rPr>
        <w:t>Payroll Bulletin</w:t>
      </w:r>
    </w:p>
    <w:p w14:paraId="33DD4887" w14:textId="77777777" w:rsidR="00EA0362" w:rsidRDefault="00EA0362">
      <w:pPr>
        <w:pStyle w:val="Header"/>
        <w:jc w:val="center"/>
        <w:rPr>
          <w:rFonts w:ascii="Arial" w:hAnsi="Arial"/>
          <w:sz w:val="20"/>
        </w:rPr>
      </w:pPr>
    </w:p>
    <w:tbl>
      <w:tblPr>
        <w:tblW w:w="0" w:type="auto"/>
        <w:tblLayout w:type="fixed"/>
        <w:tblLook w:val="0000" w:firstRow="0" w:lastRow="0" w:firstColumn="0" w:lastColumn="0" w:noHBand="0" w:noVBand="0"/>
      </w:tblPr>
      <w:tblGrid>
        <w:gridCol w:w="3708"/>
        <w:gridCol w:w="2880"/>
        <w:gridCol w:w="3600"/>
      </w:tblGrid>
      <w:tr w:rsidR="00EA0362" w14:paraId="6B9845A7" w14:textId="77777777" w:rsidTr="00E63A5B">
        <w:trPr>
          <w:cantSplit/>
        </w:trPr>
        <w:tc>
          <w:tcPr>
            <w:tcW w:w="3708" w:type="dxa"/>
            <w:tcBorders>
              <w:bottom w:val="double" w:sz="6" w:space="0" w:color="auto"/>
            </w:tcBorders>
          </w:tcPr>
          <w:p w14:paraId="4B3422E2" w14:textId="39D9AF97" w:rsidR="00EA0362" w:rsidRDefault="00EA0362" w:rsidP="000F425E">
            <w:pPr>
              <w:pStyle w:val="Header"/>
              <w:rPr>
                <w:rFonts w:ascii="Arial" w:hAnsi="Arial"/>
                <w:b/>
                <w:sz w:val="20"/>
              </w:rPr>
            </w:pPr>
            <w:r>
              <w:rPr>
                <w:rFonts w:ascii="Arial" w:hAnsi="Arial"/>
                <w:b/>
                <w:sz w:val="20"/>
              </w:rPr>
              <w:t xml:space="preserve">Calendar Year </w:t>
            </w:r>
            <w:r w:rsidR="00DA50E6">
              <w:rPr>
                <w:rFonts w:ascii="Arial" w:hAnsi="Arial"/>
                <w:b/>
                <w:sz w:val="20"/>
              </w:rPr>
              <w:t>2021</w:t>
            </w:r>
          </w:p>
        </w:tc>
        <w:tc>
          <w:tcPr>
            <w:tcW w:w="2880" w:type="dxa"/>
            <w:tcBorders>
              <w:bottom w:val="double" w:sz="6" w:space="0" w:color="auto"/>
            </w:tcBorders>
          </w:tcPr>
          <w:p w14:paraId="2A2B08A7" w14:textId="12635459" w:rsidR="00EA0362" w:rsidRDefault="007A7542" w:rsidP="001046FE">
            <w:pPr>
              <w:pStyle w:val="Header"/>
              <w:jc w:val="center"/>
              <w:rPr>
                <w:rFonts w:ascii="Arial" w:hAnsi="Arial"/>
                <w:b/>
                <w:sz w:val="20"/>
              </w:rPr>
            </w:pPr>
            <w:r>
              <w:rPr>
                <w:rFonts w:ascii="Arial" w:hAnsi="Arial"/>
                <w:b/>
                <w:sz w:val="20"/>
              </w:rPr>
              <w:t xml:space="preserve">December </w:t>
            </w:r>
            <w:r w:rsidR="00BE6100">
              <w:rPr>
                <w:rFonts w:ascii="Arial" w:hAnsi="Arial"/>
                <w:b/>
                <w:sz w:val="20"/>
              </w:rPr>
              <w:t>1</w:t>
            </w:r>
            <w:r w:rsidR="001046FE">
              <w:rPr>
                <w:rFonts w:ascii="Arial" w:hAnsi="Arial"/>
                <w:b/>
                <w:sz w:val="20"/>
              </w:rPr>
              <w:t>3</w:t>
            </w:r>
            <w:r w:rsidR="00A4186A">
              <w:rPr>
                <w:rFonts w:ascii="Arial" w:hAnsi="Arial"/>
                <w:b/>
                <w:sz w:val="20"/>
              </w:rPr>
              <w:t xml:space="preserve">, </w:t>
            </w:r>
            <w:r w:rsidR="00DA50E6">
              <w:rPr>
                <w:rFonts w:ascii="Arial" w:hAnsi="Arial"/>
                <w:b/>
                <w:sz w:val="20"/>
              </w:rPr>
              <w:t>2021</w:t>
            </w:r>
          </w:p>
        </w:tc>
        <w:tc>
          <w:tcPr>
            <w:tcW w:w="3600" w:type="dxa"/>
            <w:tcBorders>
              <w:bottom w:val="double" w:sz="6" w:space="0" w:color="auto"/>
            </w:tcBorders>
          </w:tcPr>
          <w:p w14:paraId="4FF7AC42" w14:textId="3898E3A6" w:rsidR="00EA0362" w:rsidRDefault="00BB7740" w:rsidP="001046FE">
            <w:pPr>
              <w:pStyle w:val="Header"/>
              <w:ind w:right="-108"/>
              <w:jc w:val="right"/>
              <w:rPr>
                <w:rFonts w:ascii="Arial" w:hAnsi="Arial"/>
                <w:b/>
                <w:sz w:val="20"/>
              </w:rPr>
            </w:pPr>
            <w:r>
              <w:rPr>
                <w:rFonts w:ascii="Arial" w:hAnsi="Arial"/>
                <w:b/>
                <w:sz w:val="20"/>
              </w:rPr>
              <w:t xml:space="preserve">Volume </w:t>
            </w:r>
            <w:r w:rsidR="00DA50E6">
              <w:rPr>
                <w:rFonts w:ascii="Arial" w:hAnsi="Arial"/>
                <w:b/>
                <w:sz w:val="20"/>
              </w:rPr>
              <w:t>2021</w:t>
            </w:r>
            <w:r w:rsidR="00EA0362">
              <w:rPr>
                <w:rFonts w:ascii="Arial" w:hAnsi="Arial"/>
                <w:b/>
                <w:sz w:val="20"/>
              </w:rPr>
              <w:t>-</w:t>
            </w:r>
            <w:r w:rsidR="001046FE">
              <w:rPr>
                <w:rFonts w:ascii="Arial" w:hAnsi="Arial"/>
                <w:b/>
                <w:sz w:val="20"/>
              </w:rPr>
              <w:t>13</w:t>
            </w:r>
          </w:p>
        </w:tc>
      </w:tr>
    </w:tbl>
    <w:p w14:paraId="4BB5042A" w14:textId="77777777" w:rsidR="00EA0362" w:rsidRDefault="00EA0362">
      <w:pPr>
        <w:tabs>
          <w:tab w:val="left" w:pos="990"/>
        </w:tabs>
        <w:jc w:val="center"/>
        <w:rPr>
          <w:sz w:val="20"/>
        </w:rPr>
      </w:pPr>
    </w:p>
    <w:p w14:paraId="7A6D99B1" w14:textId="41C233AC" w:rsidR="00EA0362" w:rsidRPr="006B0763" w:rsidRDefault="00EA0362">
      <w:pPr>
        <w:pStyle w:val="Heading2"/>
        <w:rPr>
          <w:rFonts w:ascii="Times New Roman" w:hAnsi="Times New Roman"/>
          <w:sz w:val="28"/>
          <w:szCs w:val="28"/>
        </w:rPr>
      </w:pPr>
      <w:bookmarkStart w:id="1" w:name="_Toc401642796"/>
      <w:r w:rsidRPr="006B0763">
        <w:rPr>
          <w:rFonts w:ascii="Times New Roman" w:hAnsi="Times New Roman"/>
          <w:sz w:val="28"/>
          <w:szCs w:val="28"/>
        </w:rPr>
        <w:t>CALENDAR YEAR-END</w:t>
      </w:r>
      <w:bookmarkStart w:id="2" w:name="_Toc401048300"/>
      <w:bookmarkEnd w:id="0"/>
      <w:bookmarkEnd w:id="1"/>
      <w:r w:rsidR="00BB7740" w:rsidRPr="006B0763">
        <w:rPr>
          <w:rFonts w:ascii="Times New Roman" w:hAnsi="Times New Roman"/>
          <w:sz w:val="28"/>
          <w:szCs w:val="28"/>
        </w:rPr>
        <w:t xml:space="preserve"> </w:t>
      </w:r>
      <w:r w:rsidR="00DA50E6">
        <w:rPr>
          <w:rFonts w:ascii="Times New Roman" w:hAnsi="Times New Roman"/>
          <w:sz w:val="28"/>
          <w:szCs w:val="28"/>
        </w:rPr>
        <w:t>2021</w:t>
      </w:r>
      <w:r w:rsidR="006F59DD">
        <w:rPr>
          <w:rFonts w:ascii="Times New Roman" w:hAnsi="Times New Roman"/>
          <w:sz w:val="28"/>
          <w:szCs w:val="28"/>
        </w:rPr>
        <w:t xml:space="preserve"> - </w:t>
      </w:r>
      <w:r w:rsidR="00F72912">
        <w:rPr>
          <w:rFonts w:ascii="Times New Roman" w:hAnsi="Times New Roman"/>
          <w:sz w:val="28"/>
          <w:szCs w:val="28"/>
        </w:rPr>
        <w:t>Reconciliation and Certification</w:t>
      </w:r>
    </w:p>
    <w:tbl>
      <w:tblPr>
        <w:tblW w:w="0" w:type="auto"/>
        <w:tblLook w:val="01E0" w:firstRow="1" w:lastRow="1" w:firstColumn="1" w:lastColumn="1" w:noHBand="0" w:noVBand="0"/>
      </w:tblPr>
      <w:tblGrid>
        <w:gridCol w:w="2231"/>
        <w:gridCol w:w="4090"/>
        <w:gridCol w:w="3759"/>
      </w:tblGrid>
      <w:tr w:rsidR="00BB7740" w:rsidRPr="00CC2C69" w14:paraId="7B3FA9F1" w14:textId="77777777" w:rsidTr="00580470">
        <w:trPr>
          <w:trHeight w:val="2455"/>
        </w:trPr>
        <w:tc>
          <w:tcPr>
            <w:tcW w:w="2245" w:type="dxa"/>
          </w:tcPr>
          <w:p w14:paraId="59AE24B8" w14:textId="77777777" w:rsidR="00BB7740" w:rsidRPr="00CC2C69" w:rsidRDefault="00BB7740" w:rsidP="00CC2C69">
            <w:pPr>
              <w:tabs>
                <w:tab w:val="left" w:pos="990"/>
              </w:tabs>
              <w:spacing w:before="120"/>
              <w:rPr>
                <w:i/>
                <w:sz w:val="32"/>
                <w:szCs w:val="32"/>
              </w:rPr>
            </w:pPr>
            <w:r w:rsidRPr="00CC2C69">
              <w:rPr>
                <w:i/>
                <w:sz w:val="32"/>
                <w:szCs w:val="32"/>
              </w:rPr>
              <w:t>In This Issue of the Payroll Bulletin…....</w:t>
            </w:r>
          </w:p>
          <w:p w14:paraId="08C385C8" w14:textId="77777777" w:rsidR="00BB7740" w:rsidRPr="00CC2C69" w:rsidRDefault="00BB7740" w:rsidP="00CC2C69">
            <w:pPr>
              <w:spacing w:before="120"/>
              <w:rPr>
                <w:b/>
              </w:rPr>
            </w:pPr>
          </w:p>
        </w:tc>
        <w:tc>
          <w:tcPr>
            <w:tcW w:w="4112" w:type="dxa"/>
          </w:tcPr>
          <w:p w14:paraId="32EA9F8D" w14:textId="110D6A00" w:rsidR="0025365E" w:rsidRDefault="00666F38" w:rsidP="00CC2C69">
            <w:pPr>
              <w:numPr>
                <w:ilvl w:val="0"/>
                <w:numId w:val="38"/>
              </w:numPr>
              <w:tabs>
                <w:tab w:val="left" w:pos="990"/>
              </w:tabs>
              <w:rPr>
                <w:szCs w:val="24"/>
              </w:rPr>
            </w:pPr>
            <w:r>
              <w:rPr>
                <w:szCs w:val="24"/>
              </w:rPr>
              <w:t>Payroll Adjustments</w:t>
            </w:r>
          </w:p>
          <w:p w14:paraId="183CF9F3" w14:textId="40A6C95F" w:rsidR="00F41E6C" w:rsidRDefault="00666F38" w:rsidP="00CC2C69">
            <w:pPr>
              <w:numPr>
                <w:ilvl w:val="0"/>
                <w:numId w:val="38"/>
              </w:numPr>
              <w:tabs>
                <w:tab w:val="left" w:pos="990"/>
              </w:tabs>
              <w:rPr>
                <w:szCs w:val="24"/>
              </w:rPr>
            </w:pPr>
            <w:r>
              <w:rPr>
                <w:szCs w:val="24"/>
              </w:rPr>
              <w:t>Miscellaneous Exception Reports</w:t>
            </w:r>
          </w:p>
          <w:p w14:paraId="728EF7C4" w14:textId="43B655F7" w:rsidR="00666F38" w:rsidRDefault="00666F38" w:rsidP="00CC2C69">
            <w:pPr>
              <w:numPr>
                <w:ilvl w:val="0"/>
                <w:numId w:val="38"/>
              </w:numPr>
              <w:tabs>
                <w:tab w:val="left" w:pos="990"/>
              </w:tabs>
              <w:rPr>
                <w:szCs w:val="24"/>
              </w:rPr>
            </w:pPr>
            <w:r>
              <w:rPr>
                <w:szCs w:val="24"/>
              </w:rPr>
              <w:t>Summary of Quarter</w:t>
            </w:r>
            <w:r w:rsidR="0069018D">
              <w:rPr>
                <w:szCs w:val="24"/>
              </w:rPr>
              <w:t>ly</w:t>
            </w:r>
            <w:r>
              <w:rPr>
                <w:szCs w:val="24"/>
              </w:rPr>
              <w:t xml:space="preserve"> and YTD Reports</w:t>
            </w:r>
          </w:p>
          <w:p w14:paraId="506C3255" w14:textId="77777777" w:rsidR="00666F38" w:rsidRDefault="00666F38" w:rsidP="00CC2C69">
            <w:pPr>
              <w:numPr>
                <w:ilvl w:val="0"/>
                <w:numId w:val="38"/>
              </w:numPr>
              <w:tabs>
                <w:tab w:val="left" w:pos="990"/>
              </w:tabs>
              <w:rPr>
                <w:szCs w:val="24"/>
              </w:rPr>
            </w:pPr>
            <w:r>
              <w:rPr>
                <w:szCs w:val="24"/>
              </w:rPr>
              <w:t>Certification/Reconciliation Reminders</w:t>
            </w:r>
          </w:p>
          <w:p w14:paraId="1546F861" w14:textId="77777777" w:rsidR="0069018D" w:rsidRDefault="0069018D" w:rsidP="00CC2C69">
            <w:pPr>
              <w:numPr>
                <w:ilvl w:val="0"/>
                <w:numId w:val="38"/>
              </w:numPr>
              <w:tabs>
                <w:tab w:val="left" w:pos="990"/>
              </w:tabs>
              <w:rPr>
                <w:szCs w:val="24"/>
              </w:rPr>
            </w:pPr>
            <w:r>
              <w:rPr>
                <w:szCs w:val="24"/>
              </w:rPr>
              <w:t>Year-End Certification</w:t>
            </w:r>
          </w:p>
          <w:p w14:paraId="6CC71337" w14:textId="4C602832" w:rsidR="00BB7740" w:rsidRPr="0069018D" w:rsidRDefault="00BB7740" w:rsidP="0069018D">
            <w:pPr>
              <w:numPr>
                <w:ilvl w:val="0"/>
                <w:numId w:val="38"/>
              </w:numPr>
              <w:tabs>
                <w:tab w:val="left" w:pos="990"/>
              </w:tabs>
              <w:rPr>
                <w:szCs w:val="24"/>
              </w:rPr>
            </w:pPr>
            <w:r w:rsidRPr="00CC2C69">
              <w:rPr>
                <w:szCs w:val="24"/>
              </w:rPr>
              <w:t>W-2 Form Contents</w:t>
            </w:r>
          </w:p>
        </w:tc>
        <w:tc>
          <w:tcPr>
            <w:tcW w:w="3795" w:type="dxa"/>
          </w:tcPr>
          <w:p w14:paraId="2C391CCB" w14:textId="77777777" w:rsidR="00BB7740" w:rsidRPr="00CC2C69" w:rsidRDefault="00BB7740" w:rsidP="00CC2C69">
            <w:pPr>
              <w:tabs>
                <w:tab w:val="left" w:pos="990"/>
              </w:tabs>
              <w:spacing w:before="120"/>
              <w:rPr>
                <w:sz w:val="20"/>
              </w:rPr>
            </w:pPr>
            <w:r w:rsidRPr="00CC2C69">
              <w:rPr>
                <w:sz w:val="20"/>
              </w:rPr>
              <w:t xml:space="preserve">The Payroll Bulletin is published periodically to provide CIPPS agencies guidance regarding Commonwealth payroll operations.  If you have any questions about the bulletin, please call Cathy McGill at (804) </w:t>
            </w:r>
            <w:r w:rsidR="00DD4D76">
              <w:rPr>
                <w:sz w:val="20"/>
              </w:rPr>
              <w:t>225-2245</w:t>
            </w:r>
            <w:r w:rsidRPr="00CC2C69">
              <w:rPr>
                <w:sz w:val="20"/>
              </w:rPr>
              <w:t xml:space="preserve"> or Email at </w:t>
            </w:r>
            <w:hyperlink r:id="rId8" w:history="1">
              <w:r w:rsidRPr="00CC2C69">
                <w:rPr>
                  <w:rStyle w:val="Hyperlink"/>
                  <w:sz w:val="20"/>
                </w:rPr>
                <w:t>cathy.mcgill@doa.virginia.gov</w:t>
              </w:r>
            </w:hyperlink>
          </w:p>
          <w:p w14:paraId="26125C4F" w14:textId="77777777" w:rsidR="00BB7740" w:rsidRPr="00CC2C69" w:rsidRDefault="00BB7740" w:rsidP="00CC2C69">
            <w:pPr>
              <w:tabs>
                <w:tab w:val="left" w:pos="990"/>
              </w:tabs>
              <w:spacing w:before="120"/>
              <w:jc w:val="both"/>
              <w:rPr>
                <w:sz w:val="20"/>
                <w:u w:val="single"/>
              </w:rPr>
            </w:pPr>
            <w:r w:rsidRPr="00CC2C69">
              <w:rPr>
                <w:sz w:val="20"/>
                <w:u w:val="single"/>
              </w:rPr>
              <w:t>State Payroll Operations</w:t>
            </w:r>
          </w:p>
          <w:p w14:paraId="296BFDE5" w14:textId="77777777" w:rsidR="00BB7740" w:rsidRPr="00CC2C69" w:rsidRDefault="00BB7740" w:rsidP="00CC2C69">
            <w:pPr>
              <w:tabs>
                <w:tab w:val="left" w:pos="990"/>
              </w:tabs>
              <w:spacing w:before="120"/>
              <w:rPr>
                <w:sz w:val="20"/>
              </w:rPr>
            </w:pPr>
            <w:r w:rsidRPr="00CC2C69">
              <w:rPr>
                <w:b/>
                <w:sz w:val="20"/>
              </w:rPr>
              <w:t>Director</w:t>
            </w:r>
            <w:r w:rsidR="0019324E">
              <w:rPr>
                <w:b/>
                <w:sz w:val="20"/>
              </w:rPr>
              <w:t xml:space="preserve">                </w:t>
            </w:r>
            <w:r w:rsidRPr="00CC2C69">
              <w:rPr>
                <w:b/>
                <w:sz w:val="20"/>
              </w:rPr>
              <w:t xml:space="preserve">    </w:t>
            </w:r>
            <w:r w:rsidR="007B4F95">
              <w:rPr>
                <w:b/>
                <w:sz w:val="20"/>
              </w:rPr>
              <w:t>Cathy C. McGill</w:t>
            </w:r>
          </w:p>
          <w:p w14:paraId="2EF800B3" w14:textId="77777777" w:rsidR="00BB7740" w:rsidRPr="0047048E" w:rsidRDefault="0047048E" w:rsidP="00CC2C69">
            <w:pPr>
              <w:tabs>
                <w:tab w:val="left" w:pos="990"/>
              </w:tabs>
              <w:spacing w:before="120"/>
              <w:rPr>
                <w:sz w:val="20"/>
              </w:rPr>
            </w:pPr>
            <w:r w:rsidRPr="0047048E">
              <w:rPr>
                <w:sz w:val="20"/>
              </w:rPr>
              <w:t>Assistant Director     Carmelita Holmes</w:t>
            </w:r>
          </w:p>
        </w:tc>
      </w:tr>
    </w:tbl>
    <w:p w14:paraId="5467775D" w14:textId="77777777" w:rsidR="00EA0362" w:rsidRPr="00372C18" w:rsidRDefault="00EA0362">
      <w:pPr>
        <w:pStyle w:val="BlockLine"/>
        <w:ind w:right="-54"/>
        <w:rPr>
          <w:sz w:val="16"/>
          <w:szCs w:val="16"/>
        </w:rPr>
      </w:pPr>
    </w:p>
    <w:tbl>
      <w:tblPr>
        <w:tblW w:w="0" w:type="auto"/>
        <w:tblLayout w:type="fixed"/>
        <w:tblLook w:val="0000" w:firstRow="0" w:lastRow="0" w:firstColumn="0" w:lastColumn="0" w:noHBand="0" w:noVBand="0"/>
      </w:tblPr>
      <w:tblGrid>
        <w:gridCol w:w="1728"/>
        <w:gridCol w:w="8370"/>
      </w:tblGrid>
      <w:tr w:rsidR="00EA0362" w14:paraId="6B0D8A3A" w14:textId="77777777">
        <w:trPr>
          <w:cantSplit/>
        </w:trPr>
        <w:tc>
          <w:tcPr>
            <w:tcW w:w="1728" w:type="dxa"/>
          </w:tcPr>
          <w:bookmarkEnd w:id="2"/>
          <w:p w14:paraId="205B0B85" w14:textId="77777777" w:rsidR="00EA0362" w:rsidRPr="00843CF9" w:rsidRDefault="00EA0362" w:rsidP="00843CF9">
            <w:pPr>
              <w:rPr>
                <w:b/>
              </w:rPr>
            </w:pPr>
            <w:r w:rsidRPr="00843CF9">
              <w:rPr>
                <w:b/>
              </w:rPr>
              <w:t>Introduction</w:t>
            </w:r>
          </w:p>
        </w:tc>
        <w:tc>
          <w:tcPr>
            <w:tcW w:w="8370" w:type="dxa"/>
          </w:tcPr>
          <w:p w14:paraId="5FD5B3E6" w14:textId="07146A42" w:rsidR="00EA0362" w:rsidRPr="009E4105" w:rsidRDefault="00EA0362" w:rsidP="009E4105">
            <w:pPr>
              <w:rPr>
                <w:sz w:val="22"/>
                <w:szCs w:val="22"/>
              </w:rPr>
            </w:pPr>
            <w:r w:rsidRPr="009E4105">
              <w:rPr>
                <w:sz w:val="22"/>
                <w:szCs w:val="22"/>
              </w:rPr>
              <w:t xml:space="preserve">This Payroll Bulletin addresses </w:t>
            </w:r>
            <w:r w:rsidR="006A5893">
              <w:rPr>
                <w:sz w:val="22"/>
                <w:szCs w:val="22"/>
              </w:rPr>
              <w:t>4</w:t>
            </w:r>
            <w:r w:rsidR="006A5893" w:rsidRPr="006A5893">
              <w:rPr>
                <w:sz w:val="22"/>
                <w:szCs w:val="22"/>
                <w:vertAlign w:val="superscript"/>
              </w:rPr>
              <w:t>th</w:t>
            </w:r>
            <w:r w:rsidR="006A5893">
              <w:rPr>
                <w:sz w:val="22"/>
                <w:szCs w:val="22"/>
              </w:rPr>
              <w:t xml:space="preserve"> Quarter Reconciliation and W-2 processing </w:t>
            </w:r>
            <w:r w:rsidR="00BB7740" w:rsidRPr="009E4105">
              <w:rPr>
                <w:sz w:val="22"/>
                <w:szCs w:val="22"/>
              </w:rPr>
              <w:t xml:space="preserve">for calendar year-end </w:t>
            </w:r>
            <w:r w:rsidR="00DA50E6">
              <w:rPr>
                <w:sz w:val="22"/>
                <w:szCs w:val="22"/>
              </w:rPr>
              <w:t>2021</w:t>
            </w:r>
            <w:r w:rsidRPr="009E4105">
              <w:rPr>
                <w:sz w:val="22"/>
                <w:szCs w:val="22"/>
              </w:rPr>
              <w:t xml:space="preserve">.  </w:t>
            </w:r>
            <w:r w:rsidR="004E37BB">
              <w:rPr>
                <w:sz w:val="22"/>
                <w:szCs w:val="22"/>
              </w:rPr>
              <w:t xml:space="preserve">  </w:t>
            </w:r>
          </w:p>
          <w:p w14:paraId="24635C71" w14:textId="77777777" w:rsidR="00EA0362" w:rsidRPr="006E0A7E" w:rsidRDefault="00EA0362" w:rsidP="009E4105">
            <w:pPr>
              <w:rPr>
                <w:sz w:val="16"/>
                <w:szCs w:val="16"/>
              </w:rPr>
            </w:pPr>
          </w:p>
          <w:p w14:paraId="12DE2562" w14:textId="77777777" w:rsidR="00EA0362" w:rsidRPr="009E4105" w:rsidRDefault="00EA0362" w:rsidP="009E4105">
            <w:pPr>
              <w:rPr>
                <w:sz w:val="22"/>
                <w:szCs w:val="22"/>
              </w:rPr>
            </w:pPr>
            <w:r w:rsidRPr="009E4105">
              <w:rPr>
                <w:sz w:val="22"/>
                <w:szCs w:val="22"/>
              </w:rPr>
              <w:t>All dates noted in this bulletin are final completion dates.  Adherence to these dates is imperative in order to complete all regulatory reporting requirements.</w:t>
            </w:r>
          </w:p>
          <w:p w14:paraId="6F4CDB45" w14:textId="77777777" w:rsidR="005F396B" w:rsidRPr="006E0A7E" w:rsidRDefault="005F396B" w:rsidP="009E4105">
            <w:pPr>
              <w:rPr>
                <w:sz w:val="16"/>
                <w:szCs w:val="16"/>
              </w:rPr>
            </w:pPr>
          </w:p>
          <w:p w14:paraId="7284C885" w14:textId="77777777" w:rsidR="005F396B" w:rsidRPr="00843CF9" w:rsidRDefault="005F396B" w:rsidP="009E4105">
            <w:r w:rsidRPr="009E4105">
              <w:rPr>
                <w:sz w:val="22"/>
                <w:szCs w:val="22"/>
              </w:rPr>
              <w:t>Copy this bulletin and distribute it to all appropriate personnel within your agency.</w:t>
            </w:r>
          </w:p>
        </w:tc>
      </w:tr>
    </w:tbl>
    <w:p w14:paraId="017CD347" w14:textId="77777777" w:rsidR="00EA0362" w:rsidRPr="00ED18CB" w:rsidRDefault="00EA0362" w:rsidP="00401DEC">
      <w:pPr>
        <w:pStyle w:val="BlockLine"/>
        <w:spacing w:before="120"/>
        <w:ind w:left="1699"/>
        <w:rPr>
          <w:sz w:val="16"/>
          <w:szCs w:val="16"/>
        </w:rPr>
      </w:pPr>
    </w:p>
    <w:tbl>
      <w:tblPr>
        <w:tblW w:w="10098" w:type="dxa"/>
        <w:tblLayout w:type="fixed"/>
        <w:tblLook w:val="0000" w:firstRow="0" w:lastRow="0" w:firstColumn="0" w:lastColumn="0" w:noHBand="0" w:noVBand="0"/>
      </w:tblPr>
      <w:tblGrid>
        <w:gridCol w:w="1728"/>
        <w:gridCol w:w="8370"/>
      </w:tblGrid>
      <w:tr w:rsidR="00EA0362" w14:paraId="03A8C8BD" w14:textId="77777777" w:rsidTr="00401DEC">
        <w:trPr>
          <w:trHeight w:val="3211"/>
        </w:trPr>
        <w:tc>
          <w:tcPr>
            <w:tcW w:w="1728" w:type="dxa"/>
          </w:tcPr>
          <w:p w14:paraId="2CC1F62E" w14:textId="115DD87D" w:rsidR="00EA0362" w:rsidRPr="000B2FA8" w:rsidRDefault="00401DEC" w:rsidP="000B2FA8">
            <w:pPr>
              <w:rPr>
                <w:b/>
              </w:rPr>
            </w:pPr>
            <w:r w:rsidRPr="000B2FA8">
              <w:rPr>
                <w:b/>
              </w:rPr>
              <w:t>Issues Requiring Special Attention</w:t>
            </w:r>
          </w:p>
        </w:tc>
        <w:tc>
          <w:tcPr>
            <w:tcW w:w="8370" w:type="dxa"/>
          </w:tcPr>
          <w:p w14:paraId="422E4BD0" w14:textId="6732524A" w:rsidR="00EA0362" w:rsidRDefault="00401DEC" w:rsidP="00401DEC">
            <w:pPr>
              <w:jc w:val="both"/>
              <w:rPr>
                <w:sz w:val="22"/>
                <w:szCs w:val="22"/>
              </w:rPr>
            </w:pPr>
            <w:r>
              <w:rPr>
                <w:sz w:val="22"/>
                <w:szCs w:val="22"/>
              </w:rPr>
              <w:t>Agencies must first reconcile the 4</w:t>
            </w:r>
            <w:r w:rsidRPr="0024797A">
              <w:rPr>
                <w:sz w:val="22"/>
                <w:szCs w:val="22"/>
                <w:vertAlign w:val="superscript"/>
              </w:rPr>
              <w:t>th</w:t>
            </w:r>
            <w:r>
              <w:rPr>
                <w:sz w:val="22"/>
                <w:szCs w:val="22"/>
              </w:rPr>
              <w:t xml:space="preserve"> quarter of calendar year </w:t>
            </w:r>
            <w:r w:rsidR="00DA50E6">
              <w:rPr>
                <w:sz w:val="22"/>
                <w:szCs w:val="22"/>
              </w:rPr>
              <w:t>2021</w:t>
            </w:r>
            <w:r>
              <w:rPr>
                <w:sz w:val="22"/>
                <w:szCs w:val="22"/>
              </w:rPr>
              <w:t xml:space="preserve"> using the procedures previously provided</w:t>
            </w:r>
            <w:r w:rsidR="00A51A4F">
              <w:rPr>
                <w:sz w:val="22"/>
                <w:szCs w:val="22"/>
              </w:rPr>
              <w:t xml:space="preserve"> in Bulletin #2019-04</w:t>
            </w:r>
            <w:r w:rsidR="00C94D35">
              <w:rPr>
                <w:sz w:val="22"/>
                <w:szCs w:val="22"/>
              </w:rPr>
              <w:t xml:space="preserve"> and #</w:t>
            </w:r>
            <w:r w:rsidR="00DA50E6">
              <w:rPr>
                <w:sz w:val="22"/>
                <w:szCs w:val="22"/>
              </w:rPr>
              <w:t>2021</w:t>
            </w:r>
            <w:r w:rsidR="00C94D35">
              <w:rPr>
                <w:sz w:val="22"/>
                <w:szCs w:val="22"/>
              </w:rPr>
              <w:t>-12</w:t>
            </w:r>
            <w:r>
              <w:rPr>
                <w:sz w:val="22"/>
                <w:szCs w:val="22"/>
              </w:rPr>
              <w:t xml:space="preserve">.  </w:t>
            </w:r>
            <w:r w:rsidR="004E37BB">
              <w:rPr>
                <w:sz w:val="22"/>
                <w:szCs w:val="22"/>
              </w:rPr>
              <w:t xml:space="preserve">To facilitate CYE reconciliation, </w:t>
            </w:r>
            <w:r w:rsidR="00CD2B52">
              <w:rPr>
                <w:sz w:val="22"/>
                <w:szCs w:val="22"/>
              </w:rPr>
              <w:t>the 4</w:t>
            </w:r>
            <w:r w:rsidR="00CD2B52" w:rsidRPr="00CD2B52">
              <w:rPr>
                <w:sz w:val="22"/>
                <w:szCs w:val="22"/>
                <w:vertAlign w:val="superscript"/>
              </w:rPr>
              <w:t>th</w:t>
            </w:r>
            <w:r w:rsidR="00CD2B52">
              <w:rPr>
                <w:sz w:val="22"/>
                <w:szCs w:val="22"/>
              </w:rPr>
              <w:t xml:space="preserve"> quarter recon spreadsheet has been incorporated into the calendar year end workbook.</w:t>
            </w:r>
            <w:r w:rsidR="005504FA">
              <w:rPr>
                <w:sz w:val="22"/>
                <w:szCs w:val="22"/>
              </w:rPr>
              <w:t xml:space="preserve">  A new version has been posted to the website.</w:t>
            </w:r>
            <w:bookmarkStart w:id="3" w:name="_GoBack"/>
            <w:bookmarkEnd w:id="3"/>
            <w:r w:rsidR="00CD2B52">
              <w:rPr>
                <w:sz w:val="22"/>
                <w:szCs w:val="22"/>
              </w:rPr>
              <w:t xml:space="preserve">  </w:t>
            </w:r>
            <w:r w:rsidR="004E37BB">
              <w:rPr>
                <w:sz w:val="22"/>
                <w:szCs w:val="22"/>
              </w:rPr>
              <w:t xml:space="preserve">All employee adjustments must be entered in the workbook and </w:t>
            </w:r>
            <w:r w:rsidR="00CD2B52">
              <w:rPr>
                <w:sz w:val="22"/>
                <w:szCs w:val="22"/>
              </w:rPr>
              <w:t>will feed through to the 83/883</w:t>
            </w:r>
            <w:r w:rsidR="004E37BB">
              <w:rPr>
                <w:sz w:val="22"/>
                <w:szCs w:val="22"/>
              </w:rPr>
              <w:t xml:space="preserve"> CYE</w:t>
            </w:r>
            <w:r w:rsidR="00CD2B52">
              <w:rPr>
                <w:sz w:val="22"/>
                <w:szCs w:val="22"/>
              </w:rPr>
              <w:t xml:space="preserve"> reconciliation</w:t>
            </w:r>
            <w:r w:rsidR="00C94D35">
              <w:rPr>
                <w:sz w:val="22"/>
                <w:szCs w:val="22"/>
              </w:rPr>
              <w:t>, also contained in the workbook</w:t>
            </w:r>
            <w:r w:rsidR="00CD2B52">
              <w:rPr>
                <w:sz w:val="22"/>
                <w:szCs w:val="22"/>
              </w:rPr>
              <w:t xml:space="preserve">.  </w:t>
            </w:r>
            <w:r>
              <w:rPr>
                <w:sz w:val="22"/>
                <w:szCs w:val="22"/>
              </w:rPr>
              <w:t>Once the 4</w:t>
            </w:r>
            <w:r w:rsidRPr="0024797A">
              <w:rPr>
                <w:sz w:val="22"/>
                <w:szCs w:val="22"/>
                <w:vertAlign w:val="superscript"/>
              </w:rPr>
              <w:t>th</w:t>
            </w:r>
            <w:r>
              <w:rPr>
                <w:sz w:val="22"/>
                <w:szCs w:val="22"/>
              </w:rPr>
              <w:t xml:space="preserve"> quarter has been reconciled, please follow the procedures provided for calendar year end reconciliation and certification.</w:t>
            </w:r>
          </w:p>
          <w:p w14:paraId="3D9DC623" w14:textId="77777777" w:rsidR="00401DEC" w:rsidRDefault="00401DEC" w:rsidP="00401DEC">
            <w:pPr>
              <w:jc w:val="both"/>
              <w:rPr>
                <w:sz w:val="16"/>
                <w:szCs w:val="16"/>
              </w:rPr>
            </w:pPr>
          </w:p>
          <w:p w14:paraId="3CD596CC" w14:textId="3ABA58CE" w:rsidR="00401DEC" w:rsidRDefault="00401DEC" w:rsidP="00401DEC">
            <w:pPr>
              <w:jc w:val="both"/>
              <w:rPr>
                <w:sz w:val="22"/>
                <w:szCs w:val="22"/>
              </w:rPr>
            </w:pPr>
            <w:r>
              <w:rPr>
                <w:sz w:val="22"/>
                <w:szCs w:val="22"/>
              </w:rPr>
              <w:t>A</w:t>
            </w:r>
            <w:r w:rsidRPr="006E0A7E">
              <w:rPr>
                <w:sz w:val="22"/>
                <w:szCs w:val="22"/>
              </w:rPr>
              <w:t xml:space="preserve">gencies will </w:t>
            </w:r>
            <w:r w:rsidRPr="006E0A7E">
              <w:rPr>
                <w:b/>
                <w:sz w:val="22"/>
                <w:szCs w:val="22"/>
                <w:u w:val="single"/>
              </w:rPr>
              <w:t>not</w:t>
            </w:r>
            <w:r w:rsidRPr="006E0A7E">
              <w:rPr>
                <w:sz w:val="22"/>
                <w:szCs w:val="22"/>
              </w:rPr>
              <w:t xml:space="preserve"> submit reports 56, 880, or 881 to DOA.  Agencies will certify year-to-date totals on Report</w:t>
            </w:r>
            <w:r>
              <w:rPr>
                <w:sz w:val="22"/>
                <w:szCs w:val="22"/>
              </w:rPr>
              <w:t>s</w:t>
            </w:r>
            <w:r w:rsidRPr="006E0A7E">
              <w:rPr>
                <w:sz w:val="22"/>
                <w:szCs w:val="22"/>
              </w:rPr>
              <w:t xml:space="preserve"> 83</w:t>
            </w:r>
            <w:r>
              <w:rPr>
                <w:sz w:val="22"/>
                <w:szCs w:val="22"/>
              </w:rPr>
              <w:t>/883</w:t>
            </w:r>
            <w:r w:rsidRPr="006E0A7E">
              <w:rPr>
                <w:sz w:val="22"/>
                <w:szCs w:val="22"/>
              </w:rPr>
              <w:t xml:space="preserve">. The </w:t>
            </w:r>
            <w:r w:rsidR="004E37BB">
              <w:rPr>
                <w:sz w:val="22"/>
                <w:szCs w:val="22"/>
              </w:rPr>
              <w:t>CYE</w:t>
            </w:r>
            <w:r w:rsidRPr="006E0A7E">
              <w:rPr>
                <w:sz w:val="22"/>
                <w:szCs w:val="22"/>
              </w:rPr>
              <w:t xml:space="preserve"> certification </w:t>
            </w:r>
            <w:r w:rsidR="004E37BB">
              <w:rPr>
                <w:sz w:val="22"/>
                <w:szCs w:val="22"/>
              </w:rPr>
              <w:t>workbook (EXCEL format)</w:t>
            </w:r>
            <w:r w:rsidRPr="006E0A7E">
              <w:rPr>
                <w:sz w:val="22"/>
                <w:szCs w:val="22"/>
              </w:rPr>
              <w:t xml:space="preserve">, </w:t>
            </w:r>
            <w:r>
              <w:rPr>
                <w:sz w:val="22"/>
                <w:szCs w:val="22"/>
              </w:rPr>
              <w:t xml:space="preserve">individual record changes noted on Report 883 and the </w:t>
            </w:r>
            <w:r w:rsidRPr="006E0A7E">
              <w:rPr>
                <w:sz w:val="22"/>
                <w:szCs w:val="22"/>
              </w:rPr>
              <w:t xml:space="preserve">Report 883 final page </w:t>
            </w:r>
            <w:r>
              <w:rPr>
                <w:sz w:val="22"/>
                <w:szCs w:val="22"/>
              </w:rPr>
              <w:t xml:space="preserve">showing final certified totals along with </w:t>
            </w:r>
            <w:r w:rsidRPr="006E0A7E">
              <w:rPr>
                <w:sz w:val="22"/>
                <w:szCs w:val="22"/>
              </w:rPr>
              <w:t xml:space="preserve">certified totals on the Report 83 will be </w:t>
            </w:r>
            <w:r w:rsidRPr="006E0A7E">
              <w:rPr>
                <w:b/>
                <w:i/>
                <w:sz w:val="22"/>
                <w:szCs w:val="22"/>
              </w:rPr>
              <w:t>required</w:t>
            </w:r>
            <w:r w:rsidRPr="006E0A7E">
              <w:rPr>
                <w:sz w:val="22"/>
                <w:szCs w:val="22"/>
              </w:rPr>
              <w:t xml:space="preserve"> of </w:t>
            </w:r>
            <w:r w:rsidRPr="006E0A7E">
              <w:rPr>
                <w:b/>
                <w:i/>
                <w:sz w:val="22"/>
                <w:szCs w:val="22"/>
              </w:rPr>
              <w:t>all</w:t>
            </w:r>
            <w:r w:rsidRPr="006E0A7E">
              <w:rPr>
                <w:sz w:val="22"/>
                <w:szCs w:val="22"/>
              </w:rPr>
              <w:t xml:space="preserve"> agencies. See Manual Year-End Adjustments subsection on Page 1</w:t>
            </w:r>
            <w:r>
              <w:rPr>
                <w:sz w:val="22"/>
                <w:szCs w:val="22"/>
              </w:rPr>
              <w:t>0</w:t>
            </w:r>
            <w:r w:rsidRPr="006E0A7E">
              <w:rPr>
                <w:sz w:val="22"/>
                <w:szCs w:val="22"/>
              </w:rPr>
              <w:t>.</w:t>
            </w:r>
          </w:p>
          <w:p w14:paraId="50B35150" w14:textId="77777777" w:rsidR="00401DEC" w:rsidRDefault="00401DEC" w:rsidP="00401DEC">
            <w:pPr>
              <w:jc w:val="both"/>
              <w:rPr>
                <w:sz w:val="16"/>
                <w:szCs w:val="16"/>
              </w:rPr>
            </w:pPr>
          </w:p>
          <w:p w14:paraId="35CC8F78" w14:textId="28FAC6B6" w:rsidR="00401DEC" w:rsidRPr="00401DEC" w:rsidRDefault="00401DEC" w:rsidP="003C0317">
            <w:pPr>
              <w:jc w:val="both"/>
              <w:rPr>
                <w:sz w:val="16"/>
                <w:szCs w:val="16"/>
              </w:rPr>
            </w:pPr>
            <w:r w:rsidRPr="006E0A7E">
              <w:rPr>
                <w:b/>
                <w:sz w:val="22"/>
                <w:szCs w:val="22"/>
              </w:rPr>
              <w:t xml:space="preserve">Remote print agencies must leave their remote-print printers on from December </w:t>
            </w:r>
            <w:r>
              <w:rPr>
                <w:b/>
                <w:sz w:val="22"/>
                <w:szCs w:val="22"/>
              </w:rPr>
              <w:t>30</w:t>
            </w:r>
            <w:r w:rsidRPr="006E0A7E">
              <w:rPr>
                <w:b/>
                <w:sz w:val="22"/>
                <w:szCs w:val="22"/>
              </w:rPr>
              <w:t xml:space="preserve">, </w:t>
            </w:r>
            <w:r w:rsidR="00DA50E6">
              <w:rPr>
                <w:b/>
                <w:sz w:val="22"/>
                <w:szCs w:val="22"/>
              </w:rPr>
              <w:t>2021</w:t>
            </w:r>
            <w:r>
              <w:rPr>
                <w:b/>
                <w:sz w:val="22"/>
                <w:szCs w:val="22"/>
              </w:rPr>
              <w:t>,</w:t>
            </w:r>
            <w:r w:rsidRPr="006E0A7E">
              <w:rPr>
                <w:b/>
                <w:sz w:val="22"/>
                <w:szCs w:val="22"/>
              </w:rPr>
              <w:t xml:space="preserve"> through January </w:t>
            </w:r>
            <w:r w:rsidR="003C0317">
              <w:rPr>
                <w:b/>
                <w:sz w:val="22"/>
                <w:szCs w:val="22"/>
              </w:rPr>
              <w:t>3</w:t>
            </w:r>
            <w:r>
              <w:rPr>
                <w:b/>
                <w:sz w:val="22"/>
                <w:szCs w:val="22"/>
              </w:rPr>
              <w:t>, 2021</w:t>
            </w:r>
            <w:r w:rsidRPr="006E0A7E">
              <w:rPr>
                <w:b/>
                <w:sz w:val="22"/>
                <w:szCs w:val="22"/>
              </w:rPr>
              <w:t>.</w:t>
            </w:r>
            <w:r w:rsidRPr="006E0A7E">
              <w:rPr>
                <w:sz w:val="22"/>
                <w:szCs w:val="22"/>
              </w:rPr>
              <w:t xml:space="preserve">  Quarter-end and year-end reports will be processed and distributed to agencies during this time.</w:t>
            </w:r>
          </w:p>
        </w:tc>
      </w:tr>
    </w:tbl>
    <w:p w14:paraId="779CC9AB" w14:textId="77777777" w:rsidR="00401DEC" w:rsidRPr="00ED18CB" w:rsidRDefault="00401DEC" w:rsidP="00401DEC">
      <w:pPr>
        <w:pStyle w:val="BlockLine"/>
        <w:spacing w:before="120"/>
        <w:ind w:left="1699"/>
        <w:rPr>
          <w:sz w:val="16"/>
          <w:szCs w:val="16"/>
        </w:rPr>
      </w:pPr>
    </w:p>
    <w:tbl>
      <w:tblPr>
        <w:tblW w:w="10188" w:type="dxa"/>
        <w:tblLayout w:type="fixed"/>
        <w:tblLook w:val="0000" w:firstRow="0" w:lastRow="0" w:firstColumn="0" w:lastColumn="0" w:noHBand="0" w:noVBand="0"/>
      </w:tblPr>
      <w:tblGrid>
        <w:gridCol w:w="1710"/>
        <w:gridCol w:w="8478"/>
      </w:tblGrid>
      <w:tr w:rsidR="00401DEC" w:rsidRPr="00D31C72" w14:paraId="7E757899" w14:textId="77777777" w:rsidTr="00AD5334">
        <w:trPr>
          <w:cantSplit/>
        </w:trPr>
        <w:tc>
          <w:tcPr>
            <w:tcW w:w="1710" w:type="dxa"/>
          </w:tcPr>
          <w:p w14:paraId="6897AA91" w14:textId="77777777" w:rsidR="00401DEC" w:rsidRDefault="00401DEC" w:rsidP="00117C79">
            <w:pPr>
              <w:rPr>
                <w:b/>
              </w:rPr>
            </w:pPr>
            <w:r w:rsidRPr="0023260F">
              <w:rPr>
                <w:b/>
              </w:rPr>
              <w:t>Key Dates</w:t>
            </w:r>
          </w:p>
          <w:p w14:paraId="1D777636" w14:textId="77777777" w:rsidR="00401DEC" w:rsidRPr="0023260F" w:rsidRDefault="00401DEC" w:rsidP="00117C79">
            <w:pPr>
              <w:rPr>
                <w:b/>
              </w:rPr>
            </w:pPr>
          </w:p>
        </w:tc>
        <w:tc>
          <w:tcPr>
            <w:tcW w:w="8478" w:type="dxa"/>
          </w:tcPr>
          <w:p w14:paraId="590D8E4F" w14:textId="18D69D4B" w:rsidR="00E16A25" w:rsidRPr="00E16A25" w:rsidRDefault="00D77803" w:rsidP="00117C79">
            <w:pPr>
              <w:numPr>
                <w:ilvl w:val="0"/>
                <w:numId w:val="39"/>
              </w:numPr>
              <w:tabs>
                <w:tab w:val="left" w:pos="522"/>
              </w:tabs>
              <w:jc w:val="both"/>
              <w:rPr>
                <w:sz w:val="20"/>
              </w:rPr>
            </w:pPr>
            <w:r w:rsidRPr="00D77803">
              <w:rPr>
                <w:b/>
                <w:sz w:val="20"/>
              </w:rPr>
              <w:t>Monday, December 13</w:t>
            </w:r>
            <w:r>
              <w:rPr>
                <w:sz w:val="20"/>
              </w:rPr>
              <w:t xml:space="preserve"> – All prior and current quarter adjustments requiring input by SPO due by 5:00 pm </w:t>
            </w:r>
          </w:p>
          <w:p w14:paraId="16FD91F4" w14:textId="1F2B4773" w:rsidR="00401DEC" w:rsidRDefault="00E16A25" w:rsidP="00117C79">
            <w:pPr>
              <w:numPr>
                <w:ilvl w:val="0"/>
                <w:numId w:val="39"/>
              </w:numPr>
              <w:tabs>
                <w:tab w:val="left" w:pos="522"/>
              </w:tabs>
              <w:jc w:val="both"/>
              <w:rPr>
                <w:sz w:val="20"/>
              </w:rPr>
            </w:pPr>
            <w:r>
              <w:rPr>
                <w:b/>
                <w:sz w:val="20"/>
              </w:rPr>
              <w:t xml:space="preserve">Friday, December 17 – </w:t>
            </w:r>
            <w:r w:rsidRPr="00E16A25">
              <w:rPr>
                <w:sz w:val="20"/>
              </w:rPr>
              <w:t>Distribution</w:t>
            </w:r>
            <w:r>
              <w:rPr>
                <w:sz w:val="20"/>
              </w:rPr>
              <w:t xml:space="preserve"> forms due by 5:00 pm</w:t>
            </w:r>
          </w:p>
          <w:p w14:paraId="5A60CEA2" w14:textId="4C237987" w:rsidR="00DD2164" w:rsidRPr="00EB4028" w:rsidRDefault="00DD2164" w:rsidP="00117C79">
            <w:pPr>
              <w:numPr>
                <w:ilvl w:val="0"/>
                <w:numId w:val="39"/>
              </w:numPr>
              <w:tabs>
                <w:tab w:val="left" w:pos="522"/>
              </w:tabs>
              <w:jc w:val="both"/>
              <w:rPr>
                <w:sz w:val="20"/>
              </w:rPr>
            </w:pPr>
            <w:r>
              <w:rPr>
                <w:b/>
                <w:sz w:val="20"/>
              </w:rPr>
              <w:t>Thursday, December 30 –</w:t>
            </w:r>
            <w:r>
              <w:rPr>
                <w:sz w:val="20"/>
              </w:rPr>
              <w:t xml:space="preserve"> Files close at noon for CYE processing</w:t>
            </w:r>
          </w:p>
          <w:p w14:paraId="18D4E98D" w14:textId="0C32A1BD" w:rsidR="00401DEC" w:rsidRPr="00EB4028" w:rsidRDefault="00401DEC" w:rsidP="00117C79">
            <w:pPr>
              <w:numPr>
                <w:ilvl w:val="0"/>
                <w:numId w:val="39"/>
              </w:numPr>
              <w:tabs>
                <w:tab w:val="left" w:pos="522"/>
              </w:tabs>
              <w:jc w:val="both"/>
              <w:rPr>
                <w:sz w:val="20"/>
              </w:rPr>
            </w:pPr>
            <w:r w:rsidRPr="00EB4028">
              <w:rPr>
                <w:b/>
                <w:sz w:val="20"/>
              </w:rPr>
              <w:t xml:space="preserve">Friday, January </w:t>
            </w:r>
            <w:r w:rsidR="00106A21">
              <w:rPr>
                <w:b/>
                <w:sz w:val="20"/>
              </w:rPr>
              <w:t>7</w:t>
            </w:r>
            <w:r w:rsidRPr="00EB4028">
              <w:rPr>
                <w:b/>
                <w:sz w:val="20"/>
              </w:rPr>
              <w:t xml:space="preserve"> –</w:t>
            </w:r>
            <w:r w:rsidRPr="00EB4028">
              <w:rPr>
                <w:sz w:val="20"/>
              </w:rPr>
              <w:t xml:space="preserve"> Calendar Yea</w:t>
            </w:r>
            <w:r w:rsidR="000A63F2">
              <w:rPr>
                <w:sz w:val="20"/>
              </w:rPr>
              <w:t>r End certifications due to DOA by 5:00 pm</w:t>
            </w:r>
          </w:p>
          <w:p w14:paraId="0553BCB6" w14:textId="66932DCF" w:rsidR="00401DEC" w:rsidRPr="00EB4028" w:rsidRDefault="00401DEC" w:rsidP="00117C79">
            <w:pPr>
              <w:pStyle w:val="BlockText"/>
              <w:numPr>
                <w:ilvl w:val="0"/>
                <w:numId w:val="39"/>
              </w:numPr>
              <w:tabs>
                <w:tab w:val="left" w:pos="4554"/>
              </w:tabs>
              <w:rPr>
                <w:sz w:val="20"/>
              </w:rPr>
            </w:pPr>
            <w:r w:rsidRPr="00EB4028">
              <w:rPr>
                <w:b/>
                <w:sz w:val="20"/>
              </w:rPr>
              <w:t>Thursday, January 1</w:t>
            </w:r>
            <w:r w:rsidR="00106A21">
              <w:rPr>
                <w:b/>
                <w:sz w:val="20"/>
              </w:rPr>
              <w:t>3</w:t>
            </w:r>
            <w:r w:rsidRPr="00EB4028">
              <w:rPr>
                <w:b/>
                <w:sz w:val="20"/>
              </w:rPr>
              <w:t xml:space="preserve"> - </w:t>
            </w:r>
            <w:r w:rsidRPr="00EB4028">
              <w:rPr>
                <w:sz w:val="20"/>
              </w:rPr>
              <w:t>Leave keying deadline for period 12/25/</w:t>
            </w:r>
            <w:r w:rsidR="00DA50E6">
              <w:rPr>
                <w:sz w:val="20"/>
              </w:rPr>
              <w:t>2021</w:t>
            </w:r>
            <w:r w:rsidRPr="00EB4028">
              <w:rPr>
                <w:sz w:val="20"/>
              </w:rPr>
              <w:t xml:space="preserve"> -1/9/202</w:t>
            </w:r>
            <w:r w:rsidR="00106A21">
              <w:rPr>
                <w:sz w:val="20"/>
              </w:rPr>
              <w:t>2</w:t>
            </w:r>
            <w:r w:rsidRPr="00EB4028">
              <w:rPr>
                <w:sz w:val="20"/>
              </w:rPr>
              <w:t>; C</w:t>
            </w:r>
            <w:r w:rsidR="00BA3780">
              <w:rPr>
                <w:sz w:val="20"/>
              </w:rPr>
              <w:t xml:space="preserve">YE </w:t>
            </w:r>
            <w:r w:rsidRPr="00EB4028">
              <w:rPr>
                <w:sz w:val="20"/>
              </w:rPr>
              <w:t>leave processing.</w:t>
            </w:r>
          </w:p>
          <w:p w14:paraId="787B41EB" w14:textId="5CD8E300" w:rsidR="00401DEC" w:rsidRPr="00EB4028" w:rsidRDefault="00401DEC" w:rsidP="00117C79">
            <w:pPr>
              <w:pStyle w:val="BlockText"/>
              <w:numPr>
                <w:ilvl w:val="0"/>
                <w:numId w:val="39"/>
              </w:numPr>
              <w:tabs>
                <w:tab w:val="left" w:pos="4554"/>
              </w:tabs>
              <w:rPr>
                <w:sz w:val="20"/>
              </w:rPr>
            </w:pPr>
            <w:r w:rsidRPr="00EB4028">
              <w:rPr>
                <w:b/>
                <w:sz w:val="20"/>
              </w:rPr>
              <w:t>Monday, January 1</w:t>
            </w:r>
            <w:r w:rsidR="00106A21">
              <w:rPr>
                <w:b/>
                <w:sz w:val="20"/>
              </w:rPr>
              <w:t>7</w:t>
            </w:r>
            <w:r w:rsidRPr="00EB4028">
              <w:rPr>
                <w:b/>
                <w:sz w:val="20"/>
              </w:rPr>
              <w:t xml:space="preserve"> –</w:t>
            </w:r>
            <w:r w:rsidRPr="00EB4028">
              <w:rPr>
                <w:sz w:val="20"/>
              </w:rPr>
              <w:t xml:space="preserve"> Holiday (no jobs will run)</w:t>
            </w:r>
          </w:p>
          <w:p w14:paraId="39ED24A7" w14:textId="15BD6DC1" w:rsidR="00401DEC" w:rsidRPr="00EB4028" w:rsidRDefault="00401DEC" w:rsidP="00117C79">
            <w:pPr>
              <w:pStyle w:val="BlockText"/>
              <w:numPr>
                <w:ilvl w:val="0"/>
                <w:numId w:val="39"/>
              </w:numPr>
              <w:tabs>
                <w:tab w:val="left" w:pos="4554"/>
              </w:tabs>
              <w:rPr>
                <w:sz w:val="20"/>
              </w:rPr>
            </w:pPr>
            <w:r w:rsidRPr="00EB4028">
              <w:rPr>
                <w:b/>
                <w:sz w:val="20"/>
              </w:rPr>
              <w:t>Thursday, January 2</w:t>
            </w:r>
            <w:r w:rsidR="00106A21">
              <w:rPr>
                <w:b/>
                <w:sz w:val="20"/>
              </w:rPr>
              <w:t>7</w:t>
            </w:r>
            <w:r w:rsidRPr="00EB4028">
              <w:rPr>
                <w:b/>
                <w:sz w:val="20"/>
              </w:rPr>
              <w:t xml:space="preserve"> –</w:t>
            </w:r>
            <w:r w:rsidRPr="00EB4028">
              <w:rPr>
                <w:sz w:val="20"/>
              </w:rPr>
              <w:t xml:space="preserve"> last day </w:t>
            </w:r>
            <w:r w:rsidR="00106A21">
              <w:rPr>
                <w:sz w:val="20"/>
              </w:rPr>
              <w:t xml:space="preserve">to ship </w:t>
            </w:r>
            <w:r w:rsidRPr="00EB4028">
              <w:rPr>
                <w:sz w:val="20"/>
              </w:rPr>
              <w:t>W-2s to agencies</w:t>
            </w:r>
          </w:p>
          <w:p w14:paraId="59A3DD81" w14:textId="54704C0A" w:rsidR="00401DEC" w:rsidRPr="00D31C72" w:rsidRDefault="00106A21" w:rsidP="00106A21">
            <w:pPr>
              <w:pStyle w:val="BlockText"/>
              <w:numPr>
                <w:ilvl w:val="0"/>
                <w:numId w:val="39"/>
              </w:numPr>
              <w:tabs>
                <w:tab w:val="left" w:pos="4554"/>
              </w:tabs>
              <w:rPr>
                <w:sz w:val="22"/>
                <w:szCs w:val="22"/>
              </w:rPr>
            </w:pPr>
            <w:r>
              <w:rPr>
                <w:b/>
                <w:sz w:val="20"/>
              </w:rPr>
              <w:t>Monday</w:t>
            </w:r>
            <w:r w:rsidR="00401DEC" w:rsidRPr="00EB4028">
              <w:rPr>
                <w:b/>
                <w:sz w:val="20"/>
              </w:rPr>
              <w:t xml:space="preserve">, January </w:t>
            </w:r>
            <w:r>
              <w:rPr>
                <w:b/>
                <w:sz w:val="20"/>
              </w:rPr>
              <w:t>31</w:t>
            </w:r>
            <w:r w:rsidR="00401DEC" w:rsidRPr="00EB4028">
              <w:rPr>
                <w:b/>
                <w:sz w:val="20"/>
              </w:rPr>
              <w:t xml:space="preserve"> –</w:t>
            </w:r>
            <w:r w:rsidR="00401DEC" w:rsidRPr="00EB4028">
              <w:rPr>
                <w:sz w:val="20"/>
              </w:rPr>
              <w:t xml:space="preserve"> Leave keying deadline for period 1/10-24/202</w:t>
            </w:r>
            <w:r>
              <w:rPr>
                <w:sz w:val="20"/>
              </w:rPr>
              <w:t>2</w:t>
            </w:r>
            <w:r w:rsidR="00401DEC" w:rsidRPr="00EB4028">
              <w:rPr>
                <w:sz w:val="20"/>
              </w:rPr>
              <w:t xml:space="preserve"> and last day for W-2s to employees.</w:t>
            </w:r>
          </w:p>
        </w:tc>
      </w:tr>
    </w:tbl>
    <w:p w14:paraId="53D1530B" w14:textId="77777777" w:rsidR="00401DEC" w:rsidRPr="00ED18CB" w:rsidRDefault="00401DEC" w:rsidP="00401DEC">
      <w:pPr>
        <w:pStyle w:val="BlockLine"/>
        <w:spacing w:before="120"/>
        <w:ind w:left="1699"/>
        <w:rPr>
          <w:sz w:val="16"/>
          <w:szCs w:val="16"/>
        </w:rPr>
      </w:pPr>
    </w:p>
    <w:p w14:paraId="7EE15B75" w14:textId="77777777" w:rsidR="00085BE6" w:rsidRDefault="00085BE6">
      <w:pPr>
        <w:rPr>
          <w:b/>
          <w:sz w:val="28"/>
          <w:szCs w:val="28"/>
        </w:rPr>
      </w:pPr>
      <w:r>
        <w:rPr>
          <w:sz w:val="28"/>
          <w:szCs w:val="28"/>
        </w:rPr>
        <w:br w:type="page"/>
      </w:r>
    </w:p>
    <w:p w14:paraId="3F2CE9DC" w14:textId="4862519A" w:rsidR="00715321" w:rsidRPr="004876DA" w:rsidRDefault="006B6650" w:rsidP="00715321">
      <w:pPr>
        <w:pStyle w:val="MapTitleContinued"/>
        <w:spacing w:after="120"/>
        <w:outlineLvl w:val="0"/>
        <w:rPr>
          <w:rFonts w:ascii="Times New Roman" w:hAnsi="Times New Roman"/>
          <w:b w:val="0"/>
          <w:sz w:val="28"/>
          <w:szCs w:val="28"/>
        </w:rPr>
      </w:pPr>
      <w:r w:rsidRPr="004876DA">
        <w:rPr>
          <w:rFonts w:ascii="Times New Roman" w:hAnsi="Times New Roman"/>
          <w:sz w:val="28"/>
          <w:szCs w:val="28"/>
        </w:rPr>
        <w:lastRenderedPageBreak/>
        <w:t>Payroll Adjustments</w:t>
      </w:r>
    </w:p>
    <w:p w14:paraId="39146800" w14:textId="77777777" w:rsidR="00715321" w:rsidRPr="00CB4E64" w:rsidRDefault="00715321" w:rsidP="00715321">
      <w:pPr>
        <w:pStyle w:val="BlockLine"/>
        <w:spacing w:before="0"/>
        <w:ind w:left="1699"/>
        <w:rPr>
          <w:sz w:val="16"/>
          <w:szCs w:val="16"/>
        </w:rPr>
      </w:pPr>
      <w:r w:rsidRPr="00CB4E64">
        <w:rPr>
          <w:sz w:val="16"/>
          <w:szCs w:val="16"/>
        </w:rPr>
        <w:t xml:space="preserve"> </w:t>
      </w:r>
    </w:p>
    <w:tbl>
      <w:tblPr>
        <w:tblW w:w="10188" w:type="dxa"/>
        <w:tblLayout w:type="fixed"/>
        <w:tblLook w:val="0000" w:firstRow="0" w:lastRow="0" w:firstColumn="0" w:lastColumn="0" w:noHBand="0" w:noVBand="0"/>
      </w:tblPr>
      <w:tblGrid>
        <w:gridCol w:w="1728"/>
        <w:gridCol w:w="8460"/>
      </w:tblGrid>
      <w:tr w:rsidR="00CF1624" w14:paraId="5F066F94" w14:textId="77777777" w:rsidTr="00381F93">
        <w:trPr>
          <w:cantSplit/>
          <w:trHeight w:val="1060"/>
        </w:trPr>
        <w:tc>
          <w:tcPr>
            <w:tcW w:w="1728" w:type="dxa"/>
          </w:tcPr>
          <w:p w14:paraId="50D8D91B" w14:textId="77777777" w:rsidR="00CF1624" w:rsidRPr="00D84C76" w:rsidRDefault="00CF1624" w:rsidP="00497022">
            <w:pPr>
              <w:rPr>
                <w:b/>
              </w:rPr>
            </w:pPr>
            <w:r w:rsidRPr="00D84C76">
              <w:rPr>
                <w:b/>
              </w:rPr>
              <w:t>Payroll Adjustments Overview</w:t>
            </w:r>
          </w:p>
        </w:tc>
        <w:tc>
          <w:tcPr>
            <w:tcW w:w="8460" w:type="dxa"/>
          </w:tcPr>
          <w:p w14:paraId="078045E7" w14:textId="71BCBFB0" w:rsidR="00CF1624" w:rsidRPr="003F7B93" w:rsidRDefault="00CF1624" w:rsidP="00381F93">
            <w:pPr>
              <w:rPr>
                <w:b/>
                <w:i/>
                <w:szCs w:val="24"/>
              </w:rPr>
            </w:pPr>
            <w:r w:rsidRPr="003F7B93">
              <w:rPr>
                <w:szCs w:val="24"/>
              </w:rPr>
              <w:t xml:space="preserve">Agencies certify quarterly to DOA that they have reconciled their payroll records and all adjustments have been identified and resolved.  To expedite year-end processing and facilitate the issuance of W-2s, </w:t>
            </w:r>
            <w:r w:rsidR="00941726" w:rsidRPr="003F7B93">
              <w:rPr>
                <w:szCs w:val="24"/>
              </w:rPr>
              <w:t xml:space="preserve">only adjustments that have not been previously identified and corrected through CIPPS should be submitted </w:t>
            </w:r>
            <w:r w:rsidR="00381F93" w:rsidRPr="003F7B93">
              <w:rPr>
                <w:szCs w:val="24"/>
              </w:rPr>
              <w:t>in the CYE package.</w:t>
            </w:r>
          </w:p>
        </w:tc>
      </w:tr>
    </w:tbl>
    <w:p w14:paraId="7A63533F" w14:textId="77777777" w:rsidR="007D6E20" w:rsidRPr="00ED18CB" w:rsidRDefault="007D6E20" w:rsidP="007D6E20">
      <w:pPr>
        <w:pStyle w:val="BlockLine"/>
        <w:rPr>
          <w:sz w:val="16"/>
          <w:szCs w:val="16"/>
        </w:rPr>
      </w:pPr>
    </w:p>
    <w:tbl>
      <w:tblPr>
        <w:tblW w:w="10188" w:type="dxa"/>
        <w:tblLayout w:type="fixed"/>
        <w:tblLook w:val="0000" w:firstRow="0" w:lastRow="0" w:firstColumn="0" w:lastColumn="0" w:noHBand="0" w:noVBand="0"/>
      </w:tblPr>
      <w:tblGrid>
        <w:gridCol w:w="1728"/>
        <w:gridCol w:w="4680"/>
        <w:gridCol w:w="3780"/>
      </w:tblGrid>
      <w:tr w:rsidR="00EA0362" w14:paraId="440EDA5D" w14:textId="77777777" w:rsidTr="007D6E20">
        <w:trPr>
          <w:cantSplit/>
          <w:trHeight w:val="603"/>
        </w:trPr>
        <w:tc>
          <w:tcPr>
            <w:tcW w:w="1728" w:type="dxa"/>
            <w:vMerge w:val="restart"/>
          </w:tcPr>
          <w:p w14:paraId="527B380B" w14:textId="77777777" w:rsidR="00EA0362" w:rsidRPr="005B762F" w:rsidRDefault="00EA0362" w:rsidP="005B762F">
            <w:pPr>
              <w:rPr>
                <w:b/>
              </w:rPr>
            </w:pPr>
            <w:r w:rsidRPr="005B762F">
              <w:rPr>
                <w:b/>
              </w:rPr>
              <w:t>Adjustment Types and Deadlines</w:t>
            </w:r>
          </w:p>
        </w:tc>
        <w:tc>
          <w:tcPr>
            <w:tcW w:w="8460" w:type="dxa"/>
            <w:gridSpan w:val="2"/>
          </w:tcPr>
          <w:p w14:paraId="5C21CF4B" w14:textId="77777777" w:rsidR="00EA0362" w:rsidRPr="005B762F" w:rsidRDefault="00EA0362" w:rsidP="005B762F">
            <w:r w:rsidRPr="005B762F">
              <w:t>There are three basic types of adjustments used to make changes to CIPPS records. The following table lists the deadlines for each adjustment type:</w:t>
            </w:r>
          </w:p>
          <w:p w14:paraId="181A4D29" w14:textId="77777777" w:rsidR="00EA0362" w:rsidRDefault="00EA0362">
            <w:pPr>
              <w:pStyle w:val="Extmemo"/>
              <w:jc w:val="both"/>
              <w:rPr>
                <w:rFonts w:ascii="Times New Roman" w:hAnsi="Times New Roman"/>
                <w:sz w:val="16"/>
              </w:rPr>
            </w:pPr>
          </w:p>
        </w:tc>
      </w:tr>
      <w:tr w:rsidR="00EA0362" w14:paraId="056F6A8A" w14:textId="77777777" w:rsidTr="007D6E20">
        <w:trPr>
          <w:cantSplit/>
        </w:trPr>
        <w:tc>
          <w:tcPr>
            <w:tcW w:w="1728" w:type="dxa"/>
            <w:vMerge/>
          </w:tcPr>
          <w:p w14:paraId="08DBEBAB" w14:textId="77777777" w:rsidR="00EA0362" w:rsidRDefault="00EA0362">
            <w:pPr>
              <w:pStyle w:val="Heading5"/>
            </w:pPr>
          </w:p>
        </w:tc>
        <w:tc>
          <w:tcPr>
            <w:tcW w:w="4680" w:type="dxa"/>
            <w:tcBorders>
              <w:top w:val="single" w:sz="4" w:space="0" w:color="auto"/>
              <w:left w:val="single" w:sz="4" w:space="0" w:color="auto"/>
              <w:bottom w:val="single" w:sz="4" w:space="0" w:color="auto"/>
              <w:right w:val="single" w:sz="4" w:space="0" w:color="auto"/>
            </w:tcBorders>
          </w:tcPr>
          <w:p w14:paraId="77ECB657" w14:textId="77777777" w:rsidR="00EA0362" w:rsidRDefault="00EA0362">
            <w:pPr>
              <w:pStyle w:val="Extmemo"/>
              <w:jc w:val="both"/>
              <w:rPr>
                <w:rFonts w:ascii="Times New Roman" w:hAnsi="Times New Roman"/>
                <w:b/>
              </w:rPr>
            </w:pPr>
            <w:r>
              <w:rPr>
                <w:rFonts w:ascii="Times New Roman" w:hAnsi="Times New Roman"/>
                <w:b/>
              </w:rPr>
              <w:t>Adjustment Type</w:t>
            </w:r>
          </w:p>
        </w:tc>
        <w:tc>
          <w:tcPr>
            <w:tcW w:w="3780" w:type="dxa"/>
            <w:tcBorders>
              <w:top w:val="single" w:sz="4" w:space="0" w:color="auto"/>
              <w:left w:val="single" w:sz="4" w:space="0" w:color="auto"/>
              <w:bottom w:val="single" w:sz="4" w:space="0" w:color="auto"/>
              <w:right w:val="single" w:sz="4" w:space="0" w:color="auto"/>
            </w:tcBorders>
          </w:tcPr>
          <w:p w14:paraId="4F1C22C9" w14:textId="77777777" w:rsidR="00EA0362" w:rsidRDefault="00EA0362">
            <w:pPr>
              <w:pStyle w:val="Extmemo"/>
              <w:jc w:val="both"/>
              <w:rPr>
                <w:b/>
              </w:rPr>
            </w:pPr>
            <w:r>
              <w:rPr>
                <w:b/>
              </w:rPr>
              <w:t>Deadline</w:t>
            </w:r>
          </w:p>
        </w:tc>
      </w:tr>
      <w:tr w:rsidR="00EA0362" w14:paraId="729750E8" w14:textId="77777777" w:rsidTr="007D6E20">
        <w:trPr>
          <w:cantSplit/>
        </w:trPr>
        <w:tc>
          <w:tcPr>
            <w:tcW w:w="1728" w:type="dxa"/>
            <w:vMerge/>
          </w:tcPr>
          <w:p w14:paraId="1E56EABB" w14:textId="77777777" w:rsidR="00EA0362" w:rsidRDefault="00EA0362">
            <w:pPr>
              <w:pStyle w:val="Heading5"/>
            </w:pPr>
          </w:p>
        </w:tc>
        <w:tc>
          <w:tcPr>
            <w:tcW w:w="4680" w:type="dxa"/>
            <w:tcBorders>
              <w:top w:val="single" w:sz="4" w:space="0" w:color="auto"/>
              <w:left w:val="single" w:sz="4" w:space="0" w:color="auto"/>
              <w:bottom w:val="single" w:sz="4" w:space="0" w:color="auto"/>
              <w:right w:val="single" w:sz="4" w:space="0" w:color="auto"/>
            </w:tcBorders>
          </w:tcPr>
          <w:p w14:paraId="0777BD10" w14:textId="77777777" w:rsidR="00EA0362" w:rsidRPr="00337D6D" w:rsidRDefault="00EA0362" w:rsidP="00340B15">
            <w:pPr>
              <w:rPr>
                <w:sz w:val="22"/>
                <w:szCs w:val="22"/>
              </w:rPr>
            </w:pPr>
            <w:r w:rsidRPr="00337D6D">
              <w:rPr>
                <w:sz w:val="22"/>
                <w:szCs w:val="22"/>
              </w:rPr>
              <w:t xml:space="preserve">Off-line YTD Earnings and Tax </w:t>
            </w:r>
            <w:r w:rsidR="00340B15">
              <w:rPr>
                <w:sz w:val="22"/>
                <w:szCs w:val="22"/>
              </w:rPr>
              <w:t>A</w:t>
            </w:r>
            <w:r w:rsidRPr="00337D6D">
              <w:rPr>
                <w:sz w:val="22"/>
                <w:szCs w:val="22"/>
              </w:rPr>
              <w:t xml:space="preserve">ccumulator adjustments submitted directly to DOA.(e.g. 10/33 corrections)  </w:t>
            </w:r>
          </w:p>
        </w:tc>
        <w:tc>
          <w:tcPr>
            <w:tcW w:w="3780" w:type="dxa"/>
            <w:tcBorders>
              <w:top w:val="single" w:sz="4" w:space="0" w:color="auto"/>
              <w:left w:val="single" w:sz="4" w:space="0" w:color="auto"/>
              <w:bottom w:val="single" w:sz="4" w:space="0" w:color="auto"/>
              <w:right w:val="single" w:sz="4" w:space="0" w:color="auto"/>
            </w:tcBorders>
          </w:tcPr>
          <w:p w14:paraId="179CB9F9" w14:textId="16382CDE" w:rsidR="00EA0362" w:rsidRPr="00337D6D" w:rsidRDefault="00EA0362" w:rsidP="003E67A5">
            <w:pPr>
              <w:rPr>
                <w:sz w:val="22"/>
                <w:szCs w:val="22"/>
              </w:rPr>
            </w:pPr>
            <w:r w:rsidRPr="00337D6D">
              <w:rPr>
                <w:sz w:val="22"/>
                <w:szCs w:val="22"/>
              </w:rPr>
              <w:t xml:space="preserve">Received </w:t>
            </w:r>
            <w:r w:rsidR="00E25569" w:rsidRPr="00337D6D">
              <w:rPr>
                <w:sz w:val="22"/>
                <w:szCs w:val="22"/>
              </w:rPr>
              <w:t>by DOA on/before 12/</w:t>
            </w:r>
            <w:r w:rsidR="003E67A5">
              <w:rPr>
                <w:sz w:val="22"/>
                <w:szCs w:val="22"/>
              </w:rPr>
              <w:t>13</w:t>
            </w:r>
            <w:r w:rsidR="009D21F0">
              <w:rPr>
                <w:sz w:val="22"/>
                <w:szCs w:val="22"/>
              </w:rPr>
              <w:t xml:space="preserve">.  </w:t>
            </w:r>
          </w:p>
        </w:tc>
      </w:tr>
      <w:tr w:rsidR="00EA0362" w14:paraId="28ABFCD5" w14:textId="77777777" w:rsidTr="007D6E20">
        <w:trPr>
          <w:cantSplit/>
        </w:trPr>
        <w:tc>
          <w:tcPr>
            <w:tcW w:w="1728" w:type="dxa"/>
            <w:vMerge/>
          </w:tcPr>
          <w:p w14:paraId="3207D11D" w14:textId="77777777" w:rsidR="00EA0362" w:rsidRDefault="00EA0362">
            <w:pPr>
              <w:pStyle w:val="Heading5"/>
            </w:pPr>
          </w:p>
        </w:tc>
        <w:tc>
          <w:tcPr>
            <w:tcW w:w="4680" w:type="dxa"/>
            <w:tcBorders>
              <w:top w:val="single" w:sz="4" w:space="0" w:color="auto"/>
              <w:left w:val="single" w:sz="4" w:space="0" w:color="auto"/>
              <w:bottom w:val="single" w:sz="4" w:space="0" w:color="auto"/>
              <w:right w:val="single" w:sz="4" w:space="0" w:color="auto"/>
            </w:tcBorders>
          </w:tcPr>
          <w:p w14:paraId="70EE10B0" w14:textId="77777777" w:rsidR="00EA0362" w:rsidRPr="00337D6D" w:rsidRDefault="00EA0362" w:rsidP="005B762F">
            <w:pPr>
              <w:rPr>
                <w:sz w:val="22"/>
                <w:szCs w:val="22"/>
              </w:rPr>
            </w:pPr>
            <w:r w:rsidRPr="00337D6D">
              <w:rPr>
                <w:sz w:val="22"/>
                <w:szCs w:val="22"/>
              </w:rPr>
              <w:t>CIPPS Manual Pay-sets</w:t>
            </w:r>
          </w:p>
        </w:tc>
        <w:tc>
          <w:tcPr>
            <w:tcW w:w="3780" w:type="dxa"/>
            <w:tcBorders>
              <w:top w:val="single" w:sz="4" w:space="0" w:color="auto"/>
              <w:left w:val="single" w:sz="4" w:space="0" w:color="auto"/>
              <w:bottom w:val="single" w:sz="4" w:space="0" w:color="auto"/>
              <w:right w:val="single" w:sz="4" w:space="0" w:color="auto"/>
            </w:tcBorders>
          </w:tcPr>
          <w:p w14:paraId="780310E4" w14:textId="7DA83D71" w:rsidR="00EA0362" w:rsidRPr="00337D6D" w:rsidRDefault="009F2A30" w:rsidP="00837715">
            <w:pPr>
              <w:rPr>
                <w:sz w:val="22"/>
                <w:szCs w:val="22"/>
              </w:rPr>
            </w:pPr>
            <w:r w:rsidRPr="00337D6D">
              <w:rPr>
                <w:sz w:val="22"/>
                <w:szCs w:val="22"/>
              </w:rPr>
              <w:t>Most effective if keyed prior to PE 12/24 certification</w:t>
            </w:r>
            <w:r w:rsidR="009D21F0" w:rsidRPr="00337D6D">
              <w:rPr>
                <w:sz w:val="22"/>
                <w:szCs w:val="22"/>
              </w:rPr>
              <w:t xml:space="preserve"> </w:t>
            </w:r>
            <w:r w:rsidR="009D21F0">
              <w:rPr>
                <w:sz w:val="22"/>
                <w:szCs w:val="22"/>
              </w:rPr>
              <w:t>(reflected on Report 10)</w:t>
            </w:r>
            <w:r w:rsidRPr="00337D6D">
              <w:rPr>
                <w:sz w:val="22"/>
                <w:szCs w:val="22"/>
              </w:rPr>
              <w:t>, but may be entered through 12/</w:t>
            </w:r>
            <w:r w:rsidR="00837715">
              <w:rPr>
                <w:sz w:val="22"/>
                <w:szCs w:val="22"/>
              </w:rPr>
              <w:t>30</w:t>
            </w:r>
            <w:r w:rsidRPr="00337D6D">
              <w:rPr>
                <w:sz w:val="22"/>
                <w:szCs w:val="22"/>
              </w:rPr>
              <w:t xml:space="preserve"> by 11:00 am.</w:t>
            </w:r>
          </w:p>
        </w:tc>
      </w:tr>
      <w:tr w:rsidR="00EA0362" w14:paraId="4E1CF94A" w14:textId="77777777" w:rsidTr="007D6E20">
        <w:trPr>
          <w:cantSplit/>
        </w:trPr>
        <w:tc>
          <w:tcPr>
            <w:tcW w:w="1728" w:type="dxa"/>
            <w:vMerge/>
          </w:tcPr>
          <w:p w14:paraId="690F308C" w14:textId="77777777" w:rsidR="00EA0362" w:rsidRDefault="00EA0362">
            <w:pPr>
              <w:pStyle w:val="Heading5"/>
            </w:pPr>
          </w:p>
        </w:tc>
        <w:tc>
          <w:tcPr>
            <w:tcW w:w="4680" w:type="dxa"/>
            <w:tcBorders>
              <w:top w:val="single" w:sz="4" w:space="0" w:color="auto"/>
              <w:left w:val="single" w:sz="4" w:space="0" w:color="auto"/>
              <w:bottom w:val="single" w:sz="4" w:space="0" w:color="auto"/>
              <w:right w:val="single" w:sz="4" w:space="0" w:color="auto"/>
            </w:tcBorders>
          </w:tcPr>
          <w:p w14:paraId="06C65B68" w14:textId="77777777" w:rsidR="00EA0362" w:rsidRPr="00337D6D" w:rsidRDefault="00EA0362" w:rsidP="005B762F">
            <w:pPr>
              <w:rPr>
                <w:sz w:val="22"/>
                <w:szCs w:val="22"/>
              </w:rPr>
            </w:pPr>
            <w:r w:rsidRPr="00337D6D">
              <w:rPr>
                <w:sz w:val="22"/>
                <w:szCs w:val="22"/>
              </w:rPr>
              <w:t>Year-end (Report 883) Adjustments</w:t>
            </w:r>
          </w:p>
        </w:tc>
        <w:tc>
          <w:tcPr>
            <w:tcW w:w="3780" w:type="dxa"/>
            <w:tcBorders>
              <w:top w:val="single" w:sz="4" w:space="0" w:color="auto"/>
              <w:left w:val="single" w:sz="4" w:space="0" w:color="auto"/>
              <w:bottom w:val="single" w:sz="4" w:space="0" w:color="auto"/>
              <w:right w:val="single" w:sz="4" w:space="0" w:color="auto"/>
            </w:tcBorders>
          </w:tcPr>
          <w:p w14:paraId="02AD5184" w14:textId="1B7D954E" w:rsidR="00EA0362" w:rsidRPr="00337D6D" w:rsidRDefault="00EC08D7" w:rsidP="003E67A5">
            <w:pPr>
              <w:rPr>
                <w:sz w:val="22"/>
                <w:szCs w:val="22"/>
              </w:rPr>
            </w:pPr>
            <w:r>
              <w:rPr>
                <w:sz w:val="22"/>
                <w:szCs w:val="22"/>
              </w:rPr>
              <w:t>Friday</w:t>
            </w:r>
            <w:r w:rsidR="00B50659">
              <w:rPr>
                <w:sz w:val="22"/>
                <w:szCs w:val="22"/>
              </w:rPr>
              <w:t>, January</w:t>
            </w:r>
            <w:r w:rsidR="00FE7578">
              <w:rPr>
                <w:sz w:val="22"/>
                <w:szCs w:val="22"/>
              </w:rPr>
              <w:t xml:space="preserve"> </w:t>
            </w:r>
            <w:r w:rsidR="003E67A5">
              <w:rPr>
                <w:sz w:val="22"/>
                <w:szCs w:val="22"/>
              </w:rPr>
              <w:t>7</w:t>
            </w:r>
            <w:r w:rsidR="004C12DB" w:rsidRPr="00337D6D">
              <w:rPr>
                <w:sz w:val="22"/>
                <w:szCs w:val="22"/>
              </w:rPr>
              <w:t xml:space="preserve"> – 5:00 p.m.</w:t>
            </w:r>
          </w:p>
        </w:tc>
      </w:tr>
    </w:tbl>
    <w:p w14:paraId="11A53594" w14:textId="77777777" w:rsidR="009A260B" w:rsidRPr="00ED18CB" w:rsidRDefault="009A260B" w:rsidP="009A260B">
      <w:pPr>
        <w:pStyle w:val="BlockLine"/>
        <w:rPr>
          <w:sz w:val="16"/>
          <w:szCs w:val="16"/>
        </w:rPr>
      </w:pPr>
    </w:p>
    <w:tbl>
      <w:tblPr>
        <w:tblW w:w="10188" w:type="dxa"/>
        <w:tblLayout w:type="fixed"/>
        <w:tblLook w:val="0000" w:firstRow="0" w:lastRow="0" w:firstColumn="0" w:lastColumn="0" w:noHBand="0" w:noVBand="0"/>
      </w:tblPr>
      <w:tblGrid>
        <w:gridCol w:w="1728"/>
        <w:gridCol w:w="8460"/>
      </w:tblGrid>
      <w:tr w:rsidR="00EA0362" w14:paraId="2E0098F6" w14:textId="77777777" w:rsidTr="007D6E20">
        <w:trPr>
          <w:cantSplit/>
        </w:trPr>
        <w:tc>
          <w:tcPr>
            <w:tcW w:w="1728" w:type="dxa"/>
          </w:tcPr>
          <w:p w14:paraId="7E1569A4" w14:textId="77777777" w:rsidR="00EA0362" w:rsidRPr="00337D6D" w:rsidRDefault="00EA0362" w:rsidP="00337D6D">
            <w:pPr>
              <w:rPr>
                <w:b/>
              </w:rPr>
            </w:pPr>
            <w:r w:rsidRPr="00337D6D">
              <w:rPr>
                <w:b/>
              </w:rPr>
              <w:t>Adjustment Type Advantages &amp; Disadvantages</w:t>
            </w:r>
          </w:p>
        </w:tc>
        <w:tc>
          <w:tcPr>
            <w:tcW w:w="8460" w:type="dxa"/>
          </w:tcPr>
          <w:p w14:paraId="1682ABAC" w14:textId="2B88A7AE" w:rsidR="00EA0362" w:rsidRPr="00337D6D" w:rsidRDefault="00EA0362" w:rsidP="00DC4B69">
            <w:pPr>
              <w:rPr>
                <w:sz w:val="22"/>
                <w:szCs w:val="22"/>
              </w:rPr>
            </w:pPr>
            <w:r w:rsidRPr="00337D6D">
              <w:rPr>
                <w:sz w:val="22"/>
                <w:szCs w:val="22"/>
              </w:rPr>
              <w:t xml:space="preserve">The following table </w:t>
            </w:r>
            <w:r w:rsidR="00381F93">
              <w:rPr>
                <w:sz w:val="22"/>
                <w:szCs w:val="22"/>
              </w:rPr>
              <w:t xml:space="preserve">revisits the </w:t>
            </w:r>
            <w:r w:rsidRPr="00337D6D">
              <w:rPr>
                <w:sz w:val="22"/>
                <w:szCs w:val="22"/>
              </w:rPr>
              <w:t xml:space="preserve">uses and advantages/disadvantages for </w:t>
            </w:r>
            <w:r w:rsidR="00381F93">
              <w:rPr>
                <w:sz w:val="22"/>
                <w:szCs w:val="22"/>
              </w:rPr>
              <w:t>adjustments made after CIPPS processing has been completed for the calendar year</w:t>
            </w:r>
            <w:r w:rsidR="00DC4B69">
              <w:rPr>
                <w:sz w:val="22"/>
                <w:szCs w:val="22"/>
              </w:rPr>
              <w:t xml:space="preserve">.  All individual employee adjustments required to correct Report 883 amounts must be made on the employee adjustment forms contained in the CYE Reconciliation and Certification package worksheets.  </w:t>
            </w:r>
          </w:p>
        </w:tc>
      </w:tr>
    </w:tbl>
    <w:p w14:paraId="67F8E709" w14:textId="77777777" w:rsidR="00EA0362" w:rsidRPr="00E95B57" w:rsidRDefault="00EA0362">
      <w:pPr>
        <w:rPr>
          <w:sz w:val="16"/>
          <w:szCs w:val="16"/>
        </w:rPr>
      </w:pPr>
    </w:p>
    <w:tbl>
      <w:tblPr>
        <w:tblW w:w="10818" w:type="dxa"/>
        <w:tblInd w:w="-630" w:type="dxa"/>
        <w:tblLayout w:type="fixed"/>
        <w:tblLook w:val="0000" w:firstRow="0" w:lastRow="0" w:firstColumn="0" w:lastColumn="0" w:noHBand="0" w:noVBand="0"/>
      </w:tblPr>
      <w:tblGrid>
        <w:gridCol w:w="630"/>
        <w:gridCol w:w="1710"/>
        <w:gridCol w:w="3258"/>
        <w:gridCol w:w="5220"/>
      </w:tblGrid>
      <w:tr w:rsidR="00EA0362" w14:paraId="25F7D845" w14:textId="77777777" w:rsidTr="009C6C42">
        <w:trPr>
          <w:cantSplit/>
        </w:trPr>
        <w:tc>
          <w:tcPr>
            <w:tcW w:w="630" w:type="dxa"/>
          </w:tcPr>
          <w:p w14:paraId="52C44405" w14:textId="77777777" w:rsidR="00EA0362" w:rsidRDefault="00EA0362">
            <w:pPr>
              <w:pStyle w:val="BlockText"/>
            </w:pPr>
          </w:p>
        </w:tc>
        <w:tc>
          <w:tcPr>
            <w:tcW w:w="1710" w:type="dxa"/>
            <w:tcBorders>
              <w:top w:val="single" w:sz="4" w:space="0" w:color="auto"/>
              <w:left w:val="single" w:sz="4" w:space="0" w:color="auto"/>
              <w:bottom w:val="single" w:sz="4" w:space="0" w:color="auto"/>
              <w:right w:val="single" w:sz="4" w:space="0" w:color="auto"/>
            </w:tcBorders>
          </w:tcPr>
          <w:p w14:paraId="4E726867" w14:textId="77777777" w:rsidR="00EA0362" w:rsidRDefault="00EA0362">
            <w:pPr>
              <w:pStyle w:val="Extmemo"/>
              <w:jc w:val="center"/>
              <w:rPr>
                <w:b/>
              </w:rPr>
            </w:pPr>
            <w:r>
              <w:rPr>
                <w:b/>
              </w:rPr>
              <w:t>Adjust Type</w:t>
            </w:r>
          </w:p>
        </w:tc>
        <w:tc>
          <w:tcPr>
            <w:tcW w:w="3258" w:type="dxa"/>
            <w:tcBorders>
              <w:top w:val="single" w:sz="4" w:space="0" w:color="auto"/>
              <w:left w:val="single" w:sz="4" w:space="0" w:color="auto"/>
              <w:bottom w:val="single" w:sz="4" w:space="0" w:color="auto"/>
              <w:right w:val="single" w:sz="4" w:space="0" w:color="auto"/>
            </w:tcBorders>
          </w:tcPr>
          <w:p w14:paraId="161C2989" w14:textId="77777777" w:rsidR="00EA0362" w:rsidRDefault="00EA0362">
            <w:pPr>
              <w:pStyle w:val="Extmemo"/>
              <w:jc w:val="center"/>
              <w:rPr>
                <w:b/>
              </w:rPr>
            </w:pPr>
            <w:r>
              <w:rPr>
                <w:b/>
              </w:rPr>
              <w:t>Common Uses</w:t>
            </w:r>
          </w:p>
        </w:tc>
        <w:tc>
          <w:tcPr>
            <w:tcW w:w="5220" w:type="dxa"/>
            <w:tcBorders>
              <w:top w:val="single" w:sz="4" w:space="0" w:color="auto"/>
              <w:left w:val="single" w:sz="4" w:space="0" w:color="auto"/>
              <w:bottom w:val="single" w:sz="4" w:space="0" w:color="auto"/>
              <w:right w:val="single" w:sz="4" w:space="0" w:color="auto"/>
            </w:tcBorders>
          </w:tcPr>
          <w:p w14:paraId="517238BF" w14:textId="77777777" w:rsidR="00EA0362" w:rsidRDefault="00EA0362">
            <w:pPr>
              <w:jc w:val="both"/>
              <w:rPr>
                <w:b/>
              </w:rPr>
            </w:pPr>
            <w:r>
              <w:rPr>
                <w:b/>
              </w:rPr>
              <w:t>Advantages/Disadvantages</w:t>
            </w:r>
          </w:p>
        </w:tc>
      </w:tr>
      <w:tr w:rsidR="007D6E20" w14:paraId="4026F877" w14:textId="77777777" w:rsidTr="009C6C42">
        <w:trPr>
          <w:cantSplit/>
        </w:trPr>
        <w:tc>
          <w:tcPr>
            <w:tcW w:w="630" w:type="dxa"/>
          </w:tcPr>
          <w:p w14:paraId="16DD3F04" w14:textId="77777777" w:rsidR="007D6E20" w:rsidRDefault="007D6E20">
            <w:pPr>
              <w:pStyle w:val="BlockText"/>
            </w:pPr>
          </w:p>
        </w:tc>
        <w:tc>
          <w:tcPr>
            <w:tcW w:w="1710" w:type="dxa"/>
            <w:tcBorders>
              <w:top w:val="single" w:sz="4" w:space="0" w:color="auto"/>
              <w:left w:val="single" w:sz="4" w:space="0" w:color="auto"/>
              <w:bottom w:val="single" w:sz="4" w:space="0" w:color="auto"/>
              <w:right w:val="single" w:sz="4" w:space="0" w:color="auto"/>
            </w:tcBorders>
          </w:tcPr>
          <w:p w14:paraId="40C740A3" w14:textId="51036A77" w:rsidR="007D6E20" w:rsidRPr="00C93BFD" w:rsidRDefault="007D6E20">
            <w:pPr>
              <w:pStyle w:val="Extmemo"/>
              <w:rPr>
                <w:rFonts w:ascii="Times New Roman" w:hAnsi="Times New Roman"/>
              </w:rPr>
            </w:pPr>
            <w:r w:rsidRPr="00C93BFD">
              <w:rPr>
                <w:rFonts w:ascii="Times New Roman" w:hAnsi="Times New Roman"/>
              </w:rPr>
              <w:t>Year-end (Report 883) Adjustments</w:t>
            </w:r>
          </w:p>
        </w:tc>
        <w:tc>
          <w:tcPr>
            <w:tcW w:w="3258" w:type="dxa"/>
            <w:tcBorders>
              <w:top w:val="single" w:sz="4" w:space="0" w:color="auto"/>
              <w:left w:val="single" w:sz="4" w:space="0" w:color="auto"/>
              <w:bottom w:val="single" w:sz="4" w:space="0" w:color="auto"/>
              <w:right w:val="single" w:sz="4" w:space="0" w:color="auto"/>
            </w:tcBorders>
          </w:tcPr>
          <w:p w14:paraId="3707924B" w14:textId="59A989EA" w:rsidR="007D6E20" w:rsidRDefault="007D6E20">
            <w:pPr>
              <w:pStyle w:val="Extmemo"/>
              <w:rPr>
                <w:rFonts w:ascii="Times New Roman" w:hAnsi="Times New Roman"/>
                <w:sz w:val="20"/>
              </w:rPr>
            </w:pPr>
            <w:r>
              <w:rPr>
                <w:rFonts w:ascii="Times New Roman" w:hAnsi="Times New Roman"/>
                <w:sz w:val="20"/>
              </w:rPr>
              <w:t>Manual Voids; Late salary repayments; Late taxable-nontaxable earnings reclassifications (i.e. late workers comp check); Uncollected Employee FICA; errors discovered during CYE reconciliation.</w:t>
            </w:r>
          </w:p>
        </w:tc>
        <w:tc>
          <w:tcPr>
            <w:tcW w:w="5220" w:type="dxa"/>
            <w:tcBorders>
              <w:top w:val="single" w:sz="4" w:space="0" w:color="auto"/>
              <w:left w:val="single" w:sz="4" w:space="0" w:color="auto"/>
              <w:bottom w:val="single" w:sz="4" w:space="0" w:color="auto"/>
              <w:right w:val="single" w:sz="4" w:space="0" w:color="auto"/>
            </w:tcBorders>
          </w:tcPr>
          <w:p w14:paraId="61C4DB2A" w14:textId="77777777" w:rsidR="007D6E20" w:rsidRPr="00B92FD5" w:rsidRDefault="007D6E20" w:rsidP="007D6E20">
            <w:pPr>
              <w:pStyle w:val="Extmemo"/>
              <w:rPr>
                <w:rFonts w:ascii="Times New Roman" w:hAnsi="Times New Roman"/>
                <w:sz w:val="20"/>
                <w:u w:val="single"/>
              </w:rPr>
            </w:pPr>
            <w:r w:rsidRPr="00B92FD5">
              <w:rPr>
                <w:rFonts w:ascii="Times New Roman" w:hAnsi="Times New Roman"/>
                <w:sz w:val="20"/>
                <w:u w:val="single"/>
              </w:rPr>
              <w:t>Advantages:</w:t>
            </w:r>
          </w:p>
          <w:p w14:paraId="5818C8A0" w14:textId="77777777" w:rsidR="007D6E20" w:rsidRPr="00B92FD5" w:rsidRDefault="007D6E20" w:rsidP="007D6E20">
            <w:pPr>
              <w:pStyle w:val="Extmemo"/>
              <w:numPr>
                <w:ilvl w:val="0"/>
                <w:numId w:val="35"/>
              </w:numPr>
              <w:rPr>
                <w:rFonts w:ascii="Times New Roman" w:hAnsi="Times New Roman"/>
                <w:sz w:val="20"/>
              </w:rPr>
            </w:pPr>
            <w:r w:rsidRPr="00B92FD5">
              <w:rPr>
                <w:rFonts w:ascii="Times New Roman" w:hAnsi="Times New Roman"/>
                <w:sz w:val="20"/>
              </w:rPr>
              <w:t>Changes reflect on employee's W-2.</w:t>
            </w:r>
          </w:p>
          <w:p w14:paraId="49D59151" w14:textId="77777777" w:rsidR="007D6E20" w:rsidRPr="00B92FD5" w:rsidRDefault="007D6E20" w:rsidP="007D6E20">
            <w:pPr>
              <w:pStyle w:val="Extmemo"/>
              <w:numPr>
                <w:ilvl w:val="0"/>
                <w:numId w:val="35"/>
              </w:numPr>
              <w:rPr>
                <w:rFonts w:ascii="Times New Roman" w:hAnsi="Times New Roman"/>
                <w:sz w:val="20"/>
              </w:rPr>
            </w:pPr>
            <w:r w:rsidRPr="00B92FD5">
              <w:rPr>
                <w:rFonts w:ascii="Times New Roman" w:hAnsi="Times New Roman"/>
                <w:sz w:val="20"/>
              </w:rPr>
              <w:t>Changes reflect on agency's W-2 magnetic-media information returns.</w:t>
            </w:r>
          </w:p>
          <w:p w14:paraId="2134BF8C" w14:textId="77777777" w:rsidR="007D6E20" w:rsidRPr="00B92FD5" w:rsidRDefault="007D6E20" w:rsidP="007D6E20">
            <w:pPr>
              <w:pStyle w:val="Extmemo"/>
              <w:rPr>
                <w:rFonts w:ascii="Times New Roman" w:hAnsi="Times New Roman"/>
                <w:sz w:val="20"/>
                <w:u w:val="single"/>
              </w:rPr>
            </w:pPr>
            <w:r w:rsidRPr="00B92FD5">
              <w:rPr>
                <w:rFonts w:ascii="Times New Roman" w:hAnsi="Times New Roman"/>
                <w:sz w:val="20"/>
                <w:u w:val="single"/>
              </w:rPr>
              <w:t>Disadvantages:</w:t>
            </w:r>
          </w:p>
          <w:p w14:paraId="7FA51FA5" w14:textId="77777777" w:rsidR="007D6E20" w:rsidRPr="00B92FD5" w:rsidRDefault="007D6E20" w:rsidP="007D6E20">
            <w:pPr>
              <w:pStyle w:val="Extmemo"/>
              <w:numPr>
                <w:ilvl w:val="0"/>
                <w:numId w:val="36"/>
              </w:numPr>
              <w:rPr>
                <w:rFonts w:ascii="Times New Roman" w:hAnsi="Times New Roman"/>
                <w:sz w:val="20"/>
              </w:rPr>
            </w:pPr>
            <w:r w:rsidRPr="00B92FD5">
              <w:rPr>
                <w:rFonts w:ascii="Times New Roman" w:hAnsi="Times New Roman"/>
                <w:sz w:val="20"/>
              </w:rPr>
              <w:t>Changes do not appear on employee's earnings notice.</w:t>
            </w:r>
          </w:p>
          <w:p w14:paraId="7CBBE936" w14:textId="77777777" w:rsidR="007D6E20" w:rsidRPr="00B92FD5" w:rsidRDefault="007D6E20" w:rsidP="007D6E20">
            <w:pPr>
              <w:pStyle w:val="Extmemo"/>
              <w:numPr>
                <w:ilvl w:val="0"/>
                <w:numId w:val="36"/>
              </w:numPr>
              <w:rPr>
                <w:rFonts w:ascii="Times New Roman" w:hAnsi="Times New Roman"/>
                <w:sz w:val="20"/>
              </w:rPr>
            </w:pPr>
            <w:r w:rsidRPr="00B92FD5">
              <w:rPr>
                <w:rFonts w:ascii="Times New Roman" w:hAnsi="Times New Roman"/>
                <w:sz w:val="20"/>
              </w:rPr>
              <w:t>FICA/FIT adjustments require manual 941 return deposit or refund.</w:t>
            </w:r>
          </w:p>
          <w:p w14:paraId="4FEEA897" w14:textId="77777777" w:rsidR="007D6E20" w:rsidRPr="00E24D6E" w:rsidRDefault="007D6E20" w:rsidP="007D6E20">
            <w:pPr>
              <w:pStyle w:val="Extmemo"/>
              <w:numPr>
                <w:ilvl w:val="0"/>
                <w:numId w:val="36"/>
              </w:numPr>
              <w:rPr>
                <w:rFonts w:ascii="Times New Roman" w:hAnsi="Times New Roman"/>
                <w:sz w:val="20"/>
              </w:rPr>
            </w:pPr>
            <w:r w:rsidRPr="00B92FD5">
              <w:rPr>
                <w:rFonts w:ascii="Times New Roman" w:hAnsi="Times New Roman"/>
                <w:sz w:val="20"/>
              </w:rPr>
              <w:t>SIT adjustments require recovery</w:t>
            </w:r>
            <w:r>
              <w:rPr>
                <w:rFonts w:ascii="Times New Roman" w:hAnsi="Times New Roman"/>
                <w:sz w:val="20"/>
              </w:rPr>
              <w:t xml:space="preserve"> </w:t>
            </w:r>
            <w:r w:rsidRPr="00E24D6E">
              <w:rPr>
                <w:rFonts w:ascii="Times New Roman" w:hAnsi="Times New Roman"/>
                <w:sz w:val="20"/>
              </w:rPr>
              <w:t>through Cardinal (call State Payroll Ops for instructions).</w:t>
            </w:r>
          </w:p>
          <w:p w14:paraId="11C678F5" w14:textId="77777777" w:rsidR="007D6E20" w:rsidRPr="00B92FD5" w:rsidRDefault="007D6E20" w:rsidP="007D6E20">
            <w:pPr>
              <w:pStyle w:val="Extmemo"/>
              <w:numPr>
                <w:ilvl w:val="0"/>
                <w:numId w:val="36"/>
              </w:numPr>
              <w:rPr>
                <w:rFonts w:ascii="Times New Roman" w:hAnsi="Times New Roman"/>
                <w:sz w:val="20"/>
              </w:rPr>
            </w:pPr>
            <w:r w:rsidRPr="00B92FD5">
              <w:rPr>
                <w:rFonts w:ascii="Times New Roman" w:hAnsi="Times New Roman"/>
                <w:sz w:val="20"/>
              </w:rPr>
              <w:t xml:space="preserve">Gross/net adjustments require manual deposit or </w:t>
            </w:r>
            <w:r>
              <w:rPr>
                <w:rFonts w:ascii="Times New Roman" w:hAnsi="Times New Roman"/>
                <w:sz w:val="20"/>
              </w:rPr>
              <w:t xml:space="preserve">Cardinal </w:t>
            </w:r>
            <w:r w:rsidRPr="00B92FD5">
              <w:rPr>
                <w:rFonts w:ascii="Times New Roman" w:hAnsi="Times New Roman"/>
                <w:sz w:val="20"/>
              </w:rPr>
              <w:t>GL</w:t>
            </w:r>
            <w:r>
              <w:rPr>
                <w:rFonts w:ascii="Times New Roman" w:hAnsi="Times New Roman"/>
                <w:sz w:val="20"/>
              </w:rPr>
              <w:t xml:space="preserve"> Journal entry.</w:t>
            </w:r>
          </w:p>
          <w:p w14:paraId="774E962D" w14:textId="77777777" w:rsidR="00AE01EB" w:rsidRPr="00AE01EB" w:rsidRDefault="007D6E20" w:rsidP="00AE01EB">
            <w:pPr>
              <w:pStyle w:val="Extmemo"/>
              <w:numPr>
                <w:ilvl w:val="0"/>
                <w:numId w:val="36"/>
              </w:numPr>
              <w:rPr>
                <w:rFonts w:ascii="Times New Roman" w:hAnsi="Times New Roman"/>
                <w:sz w:val="20"/>
                <w:u w:val="single"/>
              </w:rPr>
            </w:pPr>
            <w:r w:rsidRPr="00B92FD5">
              <w:rPr>
                <w:rFonts w:ascii="Times New Roman" w:hAnsi="Times New Roman"/>
                <w:sz w:val="20"/>
              </w:rPr>
              <w:t>Deductions must be manually recovered.</w:t>
            </w:r>
          </w:p>
          <w:p w14:paraId="467D6B00" w14:textId="77777777" w:rsidR="006A55C7" w:rsidRPr="006A55C7" w:rsidRDefault="007D6E20" w:rsidP="00AE01EB">
            <w:pPr>
              <w:pStyle w:val="Extmemo"/>
              <w:numPr>
                <w:ilvl w:val="0"/>
                <w:numId w:val="36"/>
              </w:numPr>
              <w:rPr>
                <w:rFonts w:ascii="Times New Roman" w:hAnsi="Times New Roman"/>
                <w:sz w:val="20"/>
                <w:u w:val="single"/>
              </w:rPr>
            </w:pPr>
            <w:r w:rsidRPr="00B92FD5">
              <w:rPr>
                <w:rFonts w:ascii="Times New Roman" w:hAnsi="Times New Roman"/>
                <w:sz w:val="20"/>
              </w:rPr>
              <w:t>Time consuming - more work during YE reconciliation</w:t>
            </w:r>
          </w:p>
          <w:p w14:paraId="3884225C" w14:textId="0BC60A2C" w:rsidR="007D6E20" w:rsidRDefault="006A55C7" w:rsidP="00AE01EB">
            <w:pPr>
              <w:pStyle w:val="Extmemo"/>
              <w:numPr>
                <w:ilvl w:val="0"/>
                <w:numId w:val="36"/>
              </w:numPr>
              <w:rPr>
                <w:rFonts w:ascii="Times New Roman" w:hAnsi="Times New Roman"/>
                <w:sz w:val="20"/>
                <w:u w:val="single"/>
              </w:rPr>
            </w:pPr>
            <w:r>
              <w:rPr>
                <w:rFonts w:ascii="Times New Roman" w:hAnsi="Times New Roman"/>
                <w:sz w:val="20"/>
              </w:rPr>
              <w:t>Must be entered in CYE Reconciliation &amp; Certification Workbook</w:t>
            </w:r>
            <w:r w:rsidR="007D6E20" w:rsidRPr="00B92FD5">
              <w:rPr>
                <w:rFonts w:ascii="Times New Roman" w:hAnsi="Times New Roman"/>
                <w:sz w:val="20"/>
              </w:rPr>
              <w:t>.</w:t>
            </w:r>
          </w:p>
        </w:tc>
      </w:tr>
    </w:tbl>
    <w:p w14:paraId="2AA0B7FE" w14:textId="21665130" w:rsidR="007D6E20" w:rsidRDefault="007D6E20">
      <w:pPr>
        <w:rPr>
          <w:sz w:val="16"/>
          <w:szCs w:val="16"/>
        </w:rPr>
      </w:pPr>
    </w:p>
    <w:p w14:paraId="6D456791" w14:textId="77777777" w:rsidR="007D6E20" w:rsidRPr="00FC2693" w:rsidRDefault="007D6E20">
      <w:pPr>
        <w:rPr>
          <w:sz w:val="16"/>
          <w:szCs w:val="16"/>
        </w:rPr>
      </w:pPr>
    </w:p>
    <w:p w14:paraId="7C1FC6E8" w14:textId="2129AD6A" w:rsidR="00EA0362" w:rsidRDefault="00EA0362">
      <w:pPr>
        <w:pStyle w:val="ContinuedOnNextPa"/>
        <w:outlineLvl w:val="0"/>
      </w:pPr>
    </w:p>
    <w:p w14:paraId="71B5E351" w14:textId="6027112B" w:rsidR="00DB011E" w:rsidRDefault="00EA0362" w:rsidP="00381F93">
      <w:pPr>
        <w:pStyle w:val="MapTitleContinued"/>
        <w:spacing w:after="120"/>
        <w:outlineLvl w:val="0"/>
        <w:rPr>
          <w:b w:val="0"/>
          <w:sz w:val="28"/>
        </w:rPr>
      </w:pPr>
      <w:r>
        <w:br w:type="page"/>
      </w:r>
    </w:p>
    <w:p w14:paraId="28F8BBD7" w14:textId="71DC8EAB" w:rsidR="00EA0362" w:rsidRPr="00FA1149" w:rsidRDefault="00FA1149" w:rsidP="00A66078">
      <w:pPr>
        <w:spacing w:after="120"/>
        <w:rPr>
          <w:rFonts w:ascii="Times New Roman Bold" w:hAnsi="Times New Roman Bold"/>
          <w:b/>
          <w:sz w:val="28"/>
          <w:szCs w:val="28"/>
        </w:rPr>
      </w:pPr>
      <w:r w:rsidRPr="00FA1149">
        <w:rPr>
          <w:rFonts w:ascii="Times New Roman Bold" w:hAnsi="Times New Roman Bold"/>
          <w:b/>
          <w:sz w:val="28"/>
          <w:szCs w:val="28"/>
        </w:rPr>
        <w:t>Miscellaneous Exception Reports</w:t>
      </w:r>
    </w:p>
    <w:p w14:paraId="694AED9C" w14:textId="77777777" w:rsidR="00EA0362" w:rsidRPr="00202A1A" w:rsidRDefault="00EA0362" w:rsidP="00A66078">
      <w:pPr>
        <w:pStyle w:val="BlockLine"/>
        <w:spacing w:before="0"/>
        <w:ind w:left="1699"/>
        <w:rPr>
          <w:sz w:val="16"/>
          <w:szCs w:val="16"/>
        </w:rPr>
      </w:pPr>
      <w:r>
        <w:t xml:space="preserve"> </w:t>
      </w:r>
    </w:p>
    <w:tbl>
      <w:tblPr>
        <w:tblW w:w="10188" w:type="dxa"/>
        <w:tblLayout w:type="fixed"/>
        <w:tblLook w:val="0000" w:firstRow="0" w:lastRow="0" w:firstColumn="0" w:lastColumn="0" w:noHBand="0" w:noVBand="0"/>
      </w:tblPr>
      <w:tblGrid>
        <w:gridCol w:w="1728"/>
        <w:gridCol w:w="1080"/>
        <w:gridCol w:w="2880"/>
        <w:gridCol w:w="4500"/>
      </w:tblGrid>
      <w:tr w:rsidR="00EA0362" w14:paraId="49EE7C16" w14:textId="77777777" w:rsidTr="001B32DB">
        <w:tc>
          <w:tcPr>
            <w:tcW w:w="1728" w:type="dxa"/>
          </w:tcPr>
          <w:p w14:paraId="7A8A76F3" w14:textId="77777777" w:rsidR="00EA0362" w:rsidRDefault="00EA0362">
            <w:pPr>
              <w:pStyle w:val="Heading5"/>
            </w:pPr>
            <w:r>
              <w:t>Agency Review</w:t>
            </w:r>
            <w:r w:rsidR="00C07935">
              <w:t xml:space="preserve"> </w:t>
            </w:r>
            <w:r>
              <w:t>&amp;</w:t>
            </w:r>
            <w:r w:rsidR="00C07935">
              <w:t xml:space="preserve"> </w:t>
            </w:r>
            <w:r>
              <w:t xml:space="preserve">Corrective Action </w:t>
            </w:r>
            <w:r w:rsidR="00C07935">
              <w:t>R</w:t>
            </w:r>
            <w:r>
              <w:t>equired</w:t>
            </w:r>
          </w:p>
        </w:tc>
        <w:tc>
          <w:tcPr>
            <w:tcW w:w="8460" w:type="dxa"/>
            <w:gridSpan w:val="3"/>
          </w:tcPr>
          <w:p w14:paraId="2D023D18" w14:textId="1916EC90" w:rsidR="00EA0362" w:rsidRDefault="00EA0362" w:rsidP="00556485">
            <w:pPr>
              <w:pStyle w:val="Extmemo"/>
              <w:jc w:val="both"/>
              <w:rPr>
                <w:rFonts w:ascii="Times New Roman" w:hAnsi="Times New Roman"/>
              </w:rPr>
            </w:pPr>
            <w:r>
              <w:rPr>
                <w:rFonts w:ascii="Times New Roman" w:hAnsi="Times New Roman"/>
              </w:rPr>
              <w:t xml:space="preserve">DOA has developed several "exception" type reports to assist agencies in identifying possible problems prior to year-end processing.  </w:t>
            </w:r>
            <w:r w:rsidR="00556485">
              <w:rPr>
                <w:rFonts w:ascii="Times New Roman" w:hAnsi="Times New Roman"/>
              </w:rPr>
              <w:t>These reports will be run for all agencies during calendar year end processing</w:t>
            </w:r>
            <w:r>
              <w:rPr>
                <w:rFonts w:ascii="Times New Roman" w:hAnsi="Times New Roman"/>
              </w:rPr>
              <w:t>.  Note that these reports may not apply to all agencies. They are produced based on exception criteria; therefore, if you do not receive any of these reports, your agency did not meet the exception criteria and no action is required.</w:t>
            </w:r>
          </w:p>
        </w:tc>
      </w:tr>
      <w:tr w:rsidR="00EA0362" w14:paraId="3307683B" w14:textId="77777777" w:rsidTr="001B32DB">
        <w:tc>
          <w:tcPr>
            <w:tcW w:w="1728" w:type="dxa"/>
          </w:tcPr>
          <w:p w14:paraId="5D1B44F0" w14:textId="77777777" w:rsidR="00EA0362" w:rsidRDefault="00EA0362" w:rsidP="0071488C"/>
        </w:tc>
        <w:tc>
          <w:tcPr>
            <w:tcW w:w="8460" w:type="dxa"/>
            <w:gridSpan w:val="3"/>
          </w:tcPr>
          <w:p w14:paraId="7A308912" w14:textId="77777777" w:rsidR="00EA0362" w:rsidRDefault="00EA0362">
            <w:pPr>
              <w:pStyle w:val="Extmemo"/>
            </w:pPr>
          </w:p>
        </w:tc>
      </w:tr>
      <w:tr w:rsidR="00EA0362" w14:paraId="2DA93E45" w14:textId="77777777" w:rsidTr="001B32DB">
        <w:trPr>
          <w:cantSplit/>
          <w:trHeight w:val="68"/>
        </w:trPr>
        <w:tc>
          <w:tcPr>
            <w:tcW w:w="1728" w:type="dxa"/>
            <w:vMerge w:val="restart"/>
          </w:tcPr>
          <w:p w14:paraId="3E368077" w14:textId="77777777" w:rsidR="00EA0362" w:rsidRDefault="00EA0362" w:rsidP="0071488C"/>
        </w:tc>
        <w:tc>
          <w:tcPr>
            <w:tcW w:w="1080" w:type="dxa"/>
            <w:tcBorders>
              <w:top w:val="single" w:sz="4" w:space="0" w:color="auto"/>
              <w:left w:val="single" w:sz="4" w:space="0" w:color="auto"/>
              <w:bottom w:val="single" w:sz="4" w:space="0" w:color="auto"/>
              <w:right w:val="single" w:sz="4" w:space="0" w:color="auto"/>
            </w:tcBorders>
          </w:tcPr>
          <w:p w14:paraId="4BEB37B0" w14:textId="77777777" w:rsidR="00EA0362" w:rsidRDefault="00EA0362">
            <w:pPr>
              <w:pStyle w:val="Extmemo"/>
              <w:rPr>
                <w:b/>
                <w:sz w:val="22"/>
              </w:rPr>
            </w:pPr>
            <w:r>
              <w:rPr>
                <w:b/>
                <w:sz w:val="22"/>
              </w:rPr>
              <w:t>Report #</w:t>
            </w:r>
          </w:p>
        </w:tc>
        <w:tc>
          <w:tcPr>
            <w:tcW w:w="2880" w:type="dxa"/>
            <w:tcBorders>
              <w:top w:val="single" w:sz="4" w:space="0" w:color="auto"/>
              <w:left w:val="single" w:sz="4" w:space="0" w:color="auto"/>
              <w:bottom w:val="single" w:sz="4" w:space="0" w:color="auto"/>
              <w:right w:val="single" w:sz="4" w:space="0" w:color="auto"/>
            </w:tcBorders>
          </w:tcPr>
          <w:p w14:paraId="19C42857" w14:textId="77777777" w:rsidR="00EA0362" w:rsidRDefault="00EA0362">
            <w:pPr>
              <w:pStyle w:val="Extmemo"/>
              <w:rPr>
                <w:b/>
                <w:sz w:val="22"/>
              </w:rPr>
            </w:pPr>
            <w:r>
              <w:rPr>
                <w:b/>
                <w:sz w:val="22"/>
              </w:rPr>
              <w:t>Report Name (Short)</w:t>
            </w:r>
          </w:p>
        </w:tc>
        <w:tc>
          <w:tcPr>
            <w:tcW w:w="4500" w:type="dxa"/>
            <w:tcBorders>
              <w:top w:val="single" w:sz="4" w:space="0" w:color="auto"/>
              <w:left w:val="single" w:sz="4" w:space="0" w:color="auto"/>
              <w:bottom w:val="single" w:sz="4" w:space="0" w:color="auto"/>
              <w:right w:val="single" w:sz="4" w:space="0" w:color="auto"/>
            </w:tcBorders>
          </w:tcPr>
          <w:p w14:paraId="154C5D70" w14:textId="77777777" w:rsidR="00EA0362" w:rsidRDefault="00EA0362">
            <w:pPr>
              <w:pStyle w:val="Extmemo"/>
              <w:rPr>
                <w:b/>
                <w:sz w:val="22"/>
              </w:rPr>
            </w:pPr>
            <w:r>
              <w:rPr>
                <w:b/>
                <w:sz w:val="22"/>
              </w:rPr>
              <w:t>Purpose</w:t>
            </w:r>
          </w:p>
        </w:tc>
      </w:tr>
      <w:tr w:rsidR="00954E36" w14:paraId="19A7C97F" w14:textId="77777777" w:rsidTr="001B32DB">
        <w:trPr>
          <w:cantSplit/>
          <w:trHeight w:val="65"/>
        </w:trPr>
        <w:tc>
          <w:tcPr>
            <w:tcW w:w="1728" w:type="dxa"/>
            <w:vMerge/>
          </w:tcPr>
          <w:p w14:paraId="50C6B9D4" w14:textId="77777777" w:rsidR="00954E36" w:rsidRDefault="00954E36">
            <w:pPr>
              <w:pStyle w:val="Heading5"/>
            </w:pPr>
          </w:p>
        </w:tc>
        <w:tc>
          <w:tcPr>
            <w:tcW w:w="1080" w:type="dxa"/>
            <w:tcBorders>
              <w:top w:val="single" w:sz="4" w:space="0" w:color="auto"/>
              <w:left w:val="single" w:sz="4" w:space="0" w:color="auto"/>
              <w:bottom w:val="single" w:sz="4" w:space="0" w:color="auto"/>
              <w:right w:val="single" w:sz="4" w:space="0" w:color="auto"/>
            </w:tcBorders>
          </w:tcPr>
          <w:p w14:paraId="72D3CEE8" w14:textId="77777777" w:rsidR="00954E36" w:rsidRDefault="00954E36">
            <w:pPr>
              <w:pStyle w:val="TableText"/>
              <w:rPr>
                <w:sz w:val="22"/>
              </w:rPr>
            </w:pPr>
            <w:r>
              <w:rPr>
                <w:sz w:val="22"/>
              </w:rPr>
              <w:t>844</w:t>
            </w:r>
            <w:r w:rsidR="00F86B32">
              <w:rPr>
                <w:sz w:val="22"/>
              </w:rPr>
              <w:t>*</w:t>
            </w:r>
          </w:p>
        </w:tc>
        <w:tc>
          <w:tcPr>
            <w:tcW w:w="2880" w:type="dxa"/>
            <w:tcBorders>
              <w:top w:val="single" w:sz="4" w:space="0" w:color="auto"/>
              <w:left w:val="single" w:sz="4" w:space="0" w:color="auto"/>
              <w:bottom w:val="single" w:sz="4" w:space="0" w:color="auto"/>
              <w:right w:val="single" w:sz="4" w:space="0" w:color="auto"/>
            </w:tcBorders>
          </w:tcPr>
          <w:p w14:paraId="42B592C4" w14:textId="77777777" w:rsidR="00954E36" w:rsidRDefault="00954E36">
            <w:pPr>
              <w:pStyle w:val="TableText"/>
              <w:rPr>
                <w:sz w:val="22"/>
              </w:rPr>
            </w:pPr>
            <w:r>
              <w:rPr>
                <w:sz w:val="22"/>
              </w:rPr>
              <w:t>YTD OASDI Tax - Employee not equal to employer.</w:t>
            </w:r>
          </w:p>
        </w:tc>
        <w:tc>
          <w:tcPr>
            <w:tcW w:w="4500" w:type="dxa"/>
            <w:tcBorders>
              <w:top w:val="single" w:sz="4" w:space="0" w:color="auto"/>
              <w:left w:val="single" w:sz="4" w:space="0" w:color="auto"/>
              <w:bottom w:val="single" w:sz="4" w:space="0" w:color="auto"/>
              <w:right w:val="single" w:sz="4" w:space="0" w:color="auto"/>
            </w:tcBorders>
          </w:tcPr>
          <w:p w14:paraId="4ACC460A" w14:textId="77777777" w:rsidR="00954E36" w:rsidRDefault="00954E36" w:rsidP="00DB32C5">
            <w:pPr>
              <w:pStyle w:val="Extmemo"/>
              <w:rPr>
                <w:rFonts w:ascii="Times New Roman" w:hAnsi="Times New Roman"/>
                <w:sz w:val="22"/>
              </w:rPr>
            </w:pPr>
            <w:r>
              <w:rPr>
                <w:rFonts w:ascii="Times New Roman" w:hAnsi="Times New Roman"/>
                <w:sz w:val="22"/>
              </w:rPr>
              <w:t xml:space="preserve">Identifies employees who may have OASDI Tax withheld incorrectly. </w:t>
            </w:r>
          </w:p>
        </w:tc>
      </w:tr>
      <w:tr w:rsidR="00954E36" w14:paraId="44338A80" w14:textId="77777777" w:rsidTr="001B32DB">
        <w:trPr>
          <w:cantSplit/>
          <w:trHeight w:val="65"/>
        </w:trPr>
        <w:tc>
          <w:tcPr>
            <w:tcW w:w="1728" w:type="dxa"/>
            <w:vMerge/>
          </w:tcPr>
          <w:p w14:paraId="54E9DB23" w14:textId="77777777" w:rsidR="00954E36" w:rsidRDefault="00954E36">
            <w:pPr>
              <w:pStyle w:val="Heading5"/>
            </w:pPr>
          </w:p>
        </w:tc>
        <w:tc>
          <w:tcPr>
            <w:tcW w:w="1080" w:type="dxa"/>
            <w:tcBorders>
              <w:top w:val="single" w:sz="4" w:space="0" w:color="auto"/>
              <w:left w:val="single" w:sz="4" w:space="0" w:color="auto"/>
              <w:bottom w:val="single" w:sz="4" w:space="0" w:color="auto"/>
              <w:right w:val="single" w:sz="4" w:space="0" w:color="auto"/>
            </w:tcBorders>
          </w:tcPr>
          <w:p w14:paraId="2A88AAED" w14:textId="77777777" w:rsidR="00954E36" w:rsidRDefault="00954E36">
            <w:pPr>
              <w:pStyle w:val="TableText"/>
              <w:rPr>
                <w:sz w:val="22"/>
              </w:rPr>
            </w:pPr>
            <w:r>
              <w:rPr>
                <w:sz w:val="22"/>
              </w:rPr>
              <w:t>846</w:t>
            </w:r>
            <w:r w:rsidR="00F86B32">
              <w:rPr>
                <w:sz w:val="22"/>
              </w:rPr>
              <w:t>*</w:t>
            </w:r>
          </w:p>
        </w:tc>
        <w:tc>
          <w:tcPr>
            <w:tcW w:w="2880" w:type="dxa"/>
            <w:tcBorders>
              <w:top w:val="single" w:sz="4" w:space="0" w:color="auto"/>
              <w:left w:val="single" w:sz="4" w:space="0" w:color="auto"/>
              <w:bottom w:val="single" w:sz="4" w:space="0" w:color="auto"/>
              <w:right w:val="single" w:sz="4" w:space="0" w:color="auto"/>
            </w:tcBorders>
          </w:tcPr>
          <w:p w14:paraId="58121E70" w14:textId="77777777" w:rsidR="00954E36" w:rsidRDefault="00954E36">
            <w:pPr>
              <w:pStyle w:val="TableText"/>
              <w:rPr>
                <w:sz w:val="22"/>
              </w:rPr>
            </w:pPr>
            <w:r>
              <w:rPr>
                <w:sz w:val="22"/>
              </w:rPr>
              <w:t>YTD OASDI Taxable - Employee not equal to employer.</w:t>
            </w:r>
          </w:p>
        </w:tc>
        <w:tc>
          <w:tcPr>
            <w:tcW w:w="4500" w:type="dxa"/>
            <w:tcBorders>
              <w:top w:val="single" w:sz="4" w:space="0" w:color="auto"/>
              <w:left w:val="single" w:sz="4" w:space="0" w:color="auto"/>
              <w:bottom w:val="single" w:sz="4" w:space="0" w:color="auto"/>
              <w:right w:val="single" w:sz="4" w:space="0" w:color="auto"/>
            </w:tcBorders>
          </w:tcPr>
          <w:p w14:paraId="4A268E72" w14:textId="77777777" w:rsidR="00954E36" w:rsidRDefault="00954E36" w:rsidP="00F86B32">
            <w:pPr>
              <w:pStyle w:val="Extmemo"/>
              <w:rPr>
                <w:rFonts w:ascii="Times New Roman" w:hAnsi="Times New Roman"/>
                <w:sz w:val="22"/>
              </w:rPr>
            </w:pPr>
            <w:r>
              <w:rPr>
                <w:rFonts w:ascii="Times New Roman" w:hAnsi="Times New Roman"/>
                <w:sz w:val="22"/>
              </w:rPr>
              <w:t xml:space="preserve">Identifies employees who may have OASDI Taxable amounts reported incorrectly. </w:t>
            </w:r>
          </w:p>
        </w:tc>
      </w:tr>
      <w:tr w:rsidR="00954E36" w14:paraId="360E59A2" w14:textId="77777777" w:rsidTr="001B32DB">
        <w:trPr>
          <w:cantSplit/>
          <w:trHeight w:val="65"/>
        </w:trPr>
        <w:tc>
          <w:tcPr>
            <w:tcW w:w="1728" w:type="dxa"/>
            <w:vMerge/>
          </w:tcPr>
          <w:p w14:paraId="0855173C" w14:textId="77777777" w:rsidR="00954E36" w:rsidRDefault="00954E36">
            <w:pPr>
              <w:pStyle w:val="Heading5"/>
            </w:pPr>
          </w:p>
        </w:tc>
        <w:tc>
          <w:tcPr>
            <w:tcW w:w="1080" w:type="dxa"/>
            <w:tcBorders>
              <w:top w:val="single" w:sz="4" w:space="0" w:color="auto"/>
              <w:left w:val="single" w:sz="4" w:space="0" w:color="auto"/>
              <w:bottom w:val="single" w:sz="4" w:space="0" w:color="auto"/>
              <w:right w:val="single" w:sz="4" w:space="0" w:color="auto"/>
            </w:tcBorders>
          </w:tcPr>
          <w:p w14:paraId="43691E41" w14:textId="77777777" w:rsidR="00954E36" w:rsidRDefault="00954E36">
            <w:pPr>
              <w:pStyle w:val="TableText"/>
              <w:rPr>
                <w:sz w:val="22"/>
              </w:rPr>
            </w:pPr>
            <w:r>
              <w:rPr>
                <w:sz w:val="22"/>
              </w:rPr>
              <w:t>848</w:t>
            </w:r>
            <w:r w:rsidR="00F86B32">
              <w:rPr>
                <w:sz w:val="22"/>
              </w:rPr>
              <w:t>*</w:t>
            </w:r>
          </w:p>
        </w:tc>
        <w:tc>
          <w:tcPr>
            <w:tcW w:w="2880" w:type="dxa"/>
            <w:tcBorders>
              <w:top w:val="single" w:sz="4" w:space="0" w:color="auto"/>
              <w:left w:val="single" w:sz="4" w:space="0" w:color="auto"/>
              <w:bottom w:val="single" w:sz="4" w:space="0" w:color="auto"/>
              <w:right w:val="single" w:sz="4" w:space="0" w:color="auto"/>
            </w:tcBorders>
          </w:tcPr>
          <w:p w14:paraId="32BA8C11" w14:textId="77777777" w:rsidR="00954E36" w:rsidRDefault="00954E36">
            <w:pPr>
              <w:pStyle w:val="TableText"/>
              <w:rPr>
                <w:sz w:val="22"/>
              </w:rPr>
            </w:pPr>
            <w:r>
              <w:rPr>
                <w:sz w:val="22"/>
              </w:rPr>
              <w:t>YTD HI Tax - Employee not equal to employer.</w:t>
            </w:r>
          </w:p>
        </w:tc>
        <w:tc>
          <w:tcPr>
            <w:tcW w:w="4500" w:type="dxa"/>
            <w:tcBorders>
              <w:top w:val="single" w:sz="4" w:space="0" w:color="auto"/>
              <w:left w:val="single" w:sz="4" w:space="0" w:color="auto"/>
              <w:bottom w:val="single" w:sz="4" w:space="0" w:color="auto"/>
              <w:right w:val="single" w:sz="4" w:space="0" w:color="auto"/>
            </w:tcBorders>
          </w:tcPr>
          <w:p w14:paraId="399C2398" w14:textId="77777777" w:rsidR="00954E36" w:rsidRDefault="00954E36" w:rsidP="00F86B32">
            <w:pPr>
              <w:pStyle w:val="Extmemo"/>
              <w:rPr>
                <w:rFonts w:ascii="Times New Roman" w:hAnsi="Times New Roman"/>
                <w:sz w:val="22"/>
              </w:rPr>
            </w:pPr>
            <w:r>
              <w:rPr>
                <w:rFonts w:ascii="Times New Roman" w:hAnsi="Times New Roman"/>
                <w:sz w:val="22"/>
              </w:rPr>
              <w:t xml:space="preserve">Identifies employees who may have HI Tax withheld incorrectly. </w:t>
            </w:r>
          </w:p>
        </w:tc>
      </w:tr>
      <w:tr w:rsidR="00954E36" w14:paraId="0AE3FBEE" w14:textId="77777777" w:rsidTr="001B32DB">
        <w:trPr>
          <w:cantSplit/>
          <w:trHeight w:val="65"/>
        </w:trPr>
        <w:tc>
          <w:tcPr>
            <w:tcW w:w="1728" w:type="dxa"/>
            <w:vMerge/>
          </w:tcPr>
          <w:p w14:paraId="5F916667" w14:textId="77777777" w:rsidR="00954E36" w:rsidRDefault="00954E36">
            <w:pPr>
              <w:pStyle w:val="Heading5"/>
            </w:pPr>
          </w:p>
        </w:tc>
        <w:tc>
          <w:tcPr>
            <w:tcW w:w="1080" w:type="dxa"/>
            <w:tcBorders>
              <w:top w:val="single" w:sz="4" w:space="0" w:color="auto"/>
              <w:left w:val="single" w:sz="4" w:space="0" w:color="auto"/>
              <w:bottom w:val="single" w:sz="4" w:space="0" w:color="auto"/>
              <w:right w:val="single" w:sz="4" w:space="0" w:color="auto"/>
            </w:tcBorders>
          </w:tcPr>
          <w:p w14:paraId="6812735A" w14:textId="77777777" w:rsidR="00954E36" w:rsidRDefault="00954E36">
            <w:pPr>
              <w:pStyle w:val="TableText"/>
              <w:rPr>
                <w:sz w:val="22"/>
              </w:rPr>
            </w:pPr>
            <w:r>
              <w:rPr>
                <w:sz w:val="22"/>
              </w:rPr>
              <w:t>850</w:t>
            </w:r>
            <w:r w:rsidR="00F86B32">
              <w:rPr>
                <w:sz w:val="22"/>
              </w:rPr>
              <w:t>*</w:t>
            </w:r>
          </w:p>
        </w:tc>
        <w:tc>
          <w:tcPr>
            <w:tcW w:w="2880" w:type="dxa"/>
            <w:tcBorders>
              <w:top w:val="single" w:sz="4" w:space="0" w:color="auto"/>
              <w:left w:val="single" w:sz="4" w:space="0" w:color="auto"/>
              <w:bottom w:val="single" w:sz="4" w:space="0" w:color="auto"/>
              <w:right w:val="single" w:sz="4" w:space="0" w:color="auto"/>
            </w:tcBorders>
          </w:tcPr>
          <w:p w14:paraId="26E04027" w14:textId="77777777" w:rsidR="00954E36" w:rsidRDefault="00954E36">
            <w:pPr>
              <w:pStyle w:val="TableText"/>
              <w:rPr>
                <w:sz w:val="22"/>
              </w:rPr>
            </w:pPr>
            <w:r>
              <w:rPr>
                <w:sz w:val="22"/>
              </w:rPr>
              <w:t>YTD HI Taxable - Employee not equal to employer.</w:t>
            </w:r>
          </w:p>
        </w:tc>
        <w:tc>
          <w:tcPr>
            <w:tcW w:w="4500" w:type="dxa"/>
            <w:tcBorders>
              <w:top w:val="single" w:sz="4" w:space="0" w:color="auto"/>
              <w:left w:val="single" w:sz="4" w:space="0" w:color="auto"/>
              <w:bottom w:val="single" w:sz="4" w:space="0" w:color="auto"/>
              <w:right w:val="single" w:sz="4" w:space="0" w:color="auto"/>
            </w:tcBorders>
          </w:tcPr>
          <w:p w14:paraId="0409E6B2" w14:textId="77777777" w:rsidR="00954E36" w:rsidRDefault="00954E36" w:rsidP="00F86B32">
            <w:pPr>
              <w:pStyle w:val="Extmemo"/>
              <w:rPr>
                <w:rFonts w:ascii="Times New Roman" w:hAnsi="Times New Roman"/>
                <w:sz w:val="22"/>
              </w:rPr>
            </w:pPr>
            <w:r>
              <w:rPr>
                <w:rFonts w:ascii="Times New Roman" w:hAnsi="Times New Roman"/>
                <w:sz w:val="22"/>
              </w:rPr>
              <w:t>Identifies employees who may have HI Taxable amounts reported incorrectly</w:t>
            </w:r>
          </w:p>
        </w:tc>
      </w:tr>
      <w:tr w:rsidR="00225E50" w14:paraId="335501FC" w14:textId="77777777" w:rsidTr="001B32DB">
        <w:trPr>
          <w:gridBefore w:val="1"/>
          <w:wBefore w:w="1728" w:type="dxa"/>
          <w:cantSplit/>
          <w:trHeight w:val="65"/>
        </w:trPr>
        <w:tc>
          <w:tcPr>
            <w:tcW w:w="1080" w:type="dxa"/>
            <w:tcBorders>
              <w:top w:val="single" w:sz="4" w:space="0" w:color="auto"/>
              <w:left w:val="single" w:sz="4" w:space="0" w:color="auto"/>
              <w:bottom w:val="single" w:sz="4" w:space="0" w:color="auto"/>
              <w:right w:val="single" w:sz="4" w:space="0" w:color="auto"/>
            </w:tcBorders>
          </w:tcPr>
          <w:p w14:paraId="674494F4" w14:textId="018DCAF6" w:rsidR="00225E50" w:rsidRDefault="00225E50" w:rsidP="00DC6283">
            <w:pPr>
              <w:pStyle w:val="Extmemo"/>
              <w:rPr>
                <w:rFonts w:ascii="Times New Roman" w:hAnsi="Times New Roman"/>
                <w:sz w:val="22"/>
              </w:rPr>
            </w:pPr>
            <w:r>
              <w:rPr>
                <w:rFonts w:ascii="Times New Roman" w:hAnsi="Times New Roman"/>
                <w:sz w:val="22"/>
              </w:rPr>
              <w:t>858</w:t>
            </w:r>
            <w:r w:rsidR="009A5108">
              <w:rPr>
                <w:rFonts w:ascii="Times New Roman" w:hAnsi="Times New Roman"/>
                <w:sz w:val="22"/>
              </w:rPr>
              <w:t>*</w:t>
            </w:r>
          </w:p>
        </w:tc>
        <w:tc>
          <w:tcPr>
            <w:tcW w:w="2880" w:type="dxa"/>
            <w:tcBorders>
              <w:top w:val="single" w:sz="4" w:space="0" w:color="auto"/>
              <w:left w:val="single" w:sz="4" w:space="0" w:color="auto"/>
              <w:bottom w:val="single" w:sz="4" w:space="0" w:color="auto"/>
              <w:right w:val="single" w:sz="4" w:space="0" w:color="auto"/>
            </w:tcBorders>
          </w:tcPr>
          <w:p w14:paraId="4D133705" w14:textId="77777777" w:rsidR="00225E50" w:rsidRDefault="00225E50" w:rsidP="00DC6283">
            <w:pPr>
              <w:pStyle w:val="Extmemo"/>
              <w:rPr>
                <w:rFonts w:ascii="Times New Roman" w:hAnsi="Times New Roman"/>
                <w:sz w:val="22"/>
              </w:rPr>
            </w:pPr>
            <w:r>
              <w:rPr>
                <w:rFonts w:ascii="Times New Roman" w:hAnsi="Times New Roman"/>
                <w:sz w:val="22"/>
              </w:rPr>
              <w:t>Uncollected FICA</w:t>
            </w:r>
          </w:p>
        </w:tc>
        <w:tc>
          <w:tcPr>
            <w:tcW w:w="4500" w:type="dxa"/>
            <w:tcBorders>
              <w:top w:val="single" w:sz="4" w:space="0" w:color="auto"/>
              <w:left w:val="single" w:sz="4" w:space="0" w:color="auto"/>
              <w:bottom w:val="single" w:sz="4" w:space="0" w:color="auto"/>
              <w:right w:val="single" w:sz="4" w:space="0" w:color="auto"/>
            </w:tcBorders>
          </w:tcPr>
          <w:p w14:paraId="7532A79C" w14:textId="77777777" w:rsidR="00225E50" w:rsidRDefault="00AC4896" w:rsidP="00950C4D">
            <w:pPr>
              <w:pStyle w:val="Extmemo"/>
              <w:rPr>
                <w:rFonts w:ascii="Times New Roman" w:hAnsi="Times New Roman"/>
                <w:sz w:val="22"/>
              </w:rPr>
            </w:pPr>
            <w:r>
              <w:rPr>
                <w:rFonts w:ascii="Times New Roman" w:hAnsi="Times New Roman"/>
                <w:sz w:val="22"/>
              </w:rPr>
              <w:t>Identifies employees who may have uncollected FICA.  Uncollected FICA is allowable only</w:t>
            </w:r>
            <w:r w:rsidR="008033EB">
              <w:rPr>
                <w:rFonts w:ascii="Times New Roman" w:hAnsi="Times New Roman"/>
                <w:sz w:val="22"/>
              </w:rPr>
              <w:t xml:space="preserve"> </w:t>
            </w:r>
            <w:r w:rsidR="00E973A3">
              <w:rPr>
                <w:rFonts w:ascii="Times New Roman" w:hAnsi="Times New Roman"/>
                <w:sz w:val="22"/>
              </w:rPr>
              <w:t xml:space="preserve">in cases where imputed life </w:t>
            </w:r>
            <w:r w:rsidR="008033EB">
              <w:rPr>
                <w:rFonts w:ascii="Times New Roman" w:hAnsi="Times New Roman"/>
                <w:sz w:val="22"/>
              </w:rPr>
              <w:t xml:space="preserve">or tips are reported for employees with no pay.  </w:t>
            </w:r>
            <w:r w:rsidR="00E973A3">
              <w:rPr>
                <w:rFonts w:ascii="Times New Roman" w:hAnsi="Times New Roman"/>
                <w:sz w:val="22"/>
              </w:rPr>
              <w:t xml:space="preserve"> All other uncollected FICA must be </w:t>
            </w:r>
            <w:r w:rsidR="008033EB">
              <w:rPr>
                <w:rFonts w:ascii="Times New Roman" w:hAnsi="Times New Roman"/>
                <w:sz w:val="22"/>
              </w:rPr>
              <w:t>investigated and collected from employees.</w:t>
            </w:r>
          </w:p>
        </w:tc>
      </w:tr>
      <w:tr w:rsidR="00763135" w14:paraId="27A07DC7" w14:textId="77777777" w:rsidTr="00763135">
        <w:trPr>
          <w:gridBefore w:val="1"/>
          <w:wBefore w:w="1728" w:type="dxa"/>
          <w:cantSplit/>
          <w:trHeight w:val="65"/>
        </w:trPr>
        <w:tc>
          <w:tcPr>
            <w:tcW w:w="1080" w:type="dxa"/>
            <w:tcBorders>
              <w:top w:val="single" w:sz="4" w:space="0" w:color="auto"/>
              <w:left w:val="single" w:sz="4" w:space="0" w:color="auto"/>
              <w:bottom w:val="single" w:sz="4" w:space="0" w:color="auto"/>
              <w:right w:val="single" w:sz="4" w:space="0" w:color="auto"/>
            </w:tcBorders>
          </w:tcPr>
          <w:p w14:paraId="7FE66BDF" w14:textId="77777777" w:rsidR="00763135" w:rsidRDefault="00763135" w:rsidP="003F5481">
            <w:pPr>
              <w:pStyle w:val="Extmemo"/>
              <w:rPr>
                <w:rFonts w:ascii="Times New Roman" w:hAnsi="Times New Roman"/>
                <w:sz w:val="22"/>
              </w:rPr>
            </w:pPr>
            <w:r>
              <w:rPr>
                <w:rFonts w:ascii="Times New Roman" w:hAnsi="Times New Roman"/>
                <w:sz w:val="22"/>
              </w:rPr>
              <w:t>891</w:t>
            </w:r>
          </w:p>
        </w:tc>
        <w:tc>
          <w:tcPr>
            <w:tcW w:w="2880" w:type="dxa"/>
            <w:tcBorders>
              <w:top w:val="single" w:sz="4" w:space="0" w:color="auto"/>
              <w:left w:val="single" w:sz="4" w:space="0" w:color="auto"/>
              <w:bottom w:val="single" w:sz="4" w:space="0" w:color="auto"/>
              <w:right w:val="single" w:sz="4" w:space="0" w:color="auto"/>
            </w:tcBorders>
          </w:tcPr>
          <w:p w14:paraId="45C551DB" w14:textId="77777777" w:rsidR="00763135" w:rsidRDefault="00763135" w:rsidP="003F5481">
            <w:pPr>
              <w:pStyle w:val="Extmemo"/>
              <w:rPr>
                <w:rFonts w:ascii="Times New Roman" w:hAnsi="Times New Roman"/>
                <w:sz w:val="22"/>
              </w:rPr>
            </w:pPr>
            <w:r>
              <w:rPr>
                <w:rFonts w:ascii="Times New Roman" w:hAnsi="Times New Roman"/>
                <w:sz w:val="22"/>
              </w:rPr>
              <w:t>Employees with YTD Deceased Pay (Special Pay 054, 055)</w:t>
            </w:r>
          </w:p>
        </w:tc>
        <w:tc>
          <w:tcPr>
            <w:tcW w:w="4500" w:type="dxa"/>
            <w:tcBorders>
              <w:top w:val="single" w:sz="4" w:space="0" w:color="auto"/>
              <w:left w:val="single" w:sz="4" w:space="0" w:color="auto"/>
              <w:bottom w:val="single" w:sz="4" w:space="0" w:color="auto"/>
              <w:right w:val="single" w:sz="4" w:space="0" w:color="auto"/>
            </w:tcBorders>
          </w:tcPr>
          <w:p w14:paraId="3DE22489" w14:textId="77777777" w:rsidR="00763135" w:rsidRDefault="00763135" w:rsidP="003F5481">
            <w:pPr>
              <w:pStyle w:val="Extmemo"/>
              <w:rPr>
                <w:rFonts w:ascii="Times New Roman" w:hAnsi="Times New Roman"/>
                <w:sz w:val="22"/>
              </w:rPr>
            </w:pPr>
            <w:r>
              <w:rPr>
                <w:rFonts w:ascii="Times New Roman" w:hAnsi="Times New Roman"/>
                <w:sz w:val="22"/>
              </w:rPr>
              <w:t>Identifies employees who received Deceased Pay (Special Pay Codes 054, 055) during the calendar year.</w:t>
            </w:r>
          </w:p>
        </w:tc>
      </w:tr>
      <w:tr w:rsidR="00763135" w14:paraId="52409D63" w14:textId="77777777" w:rsidTr="00763135">
        <w:trPr>
          <w:gridBefore w:val="1"/>
          <w:wBefore w:w="1728" w:type="dxa"/>
          <w:cantSplit/>
          <w:trHeight w:val="65"/>
        </w:trPr>
        <w:tc>
          <w:tcPr>
            <w:tcW w:w="1080" w:type="dxa"/>
            <w:tcBorders>
              <w:top w:val="single" w:sz="4" w:space="0" w:color="auto"/>
              <w:left w:val="single" w:sz="4" w:space="0" w:color="auto"/>
              <w:bottom w:val="single" w:sz="4" w:space="0" w:color="auto"/>
              <w:right w:val="single" w:sz="4" w:space="0" w:color="auto"/>
            </w:tcBorders>
          </w:tcPr>
          <w:p w14:paraId="42D9E33B" w14:textId="77777777" w:rsidR="00763135" w:rsidRDefault="00763135" w:rsidP="003F5481">
            <w:pPr>
              <w:pStyle w:val="Extmemo"/>
              <w:rPr>
                <w:rFonts w:ascii="Times New Roman" w:hAnsi="Times New Roman"/>
                <w:sz w:val="22"/>
              </w:rPr>
            </w:pPr>
            <w:r>
              <w:rPr>
                <w:rFonts w:ascii="Times New Roman" w:hAnsi="Times New Roman"/>
                <w:sz w:val="22"/>
              </w:rPr>
              <w:t>915</w:t>
            </w:r>
          </w:p>
        </w:tc>
        <w:tc>
          <w:tcPr>
            <w:tcW w:w="2880" w:type="dxa"/>
            <w:tcBorders>
              <w:top w:val="single" w:sz="4" w:space="0" w:color="auto"/>
              <w:left w:val="single" w:sz="4" w:space="0" w:color="auto"/>
              <w:bottom w:val="single" w:sz="4" w:space="0" w:color="auto"/>
              <w:right w:val="single" w:sz="4" w:space="0" w:color="auto"/>
            </w:tcBorders>
          </w:tcPr>
          <w:p w14:paraId="3BEF1564" w14:textId="77777777" w:rsidR="00763135" w:rsidRDefault="00763135" w:rsidP="003F5481">
            <w:pPr>
              <w:pStyle w:val="Extmemo"/>
              <w:rPr>
                <w:rFonts w:ascii="Times New Roman" w:hAnsi="Times New Roman"/>
                <w:sz w:val="22"/>
              </w:rPr>
            </w:pPr>
            <w:r>
              <w:rPr>
                <w:rFonts w:ascii="Times New Roman" w:hAnsi="Times New Roman"/>
                <w:sz w:val="22"/>
              </w:rPr>
              <w:t>YTD State Taxable Wages Different from Federal</w:t>
            </w:r>
          </w:p>
        </w:tc>
        <w:tc>
          <w:tcPr>
            <w:tcW w:w="4500" w:type="dxa"/>
            <w:tcBorders>
              <w:top w:val="single" w:sz="4" w:space="0" w:color="auto"/>
              <w:left w:val="single" w:sz="4" w:space="0" w:color="auto"/>
              <w:bottom w:val="single" w:sz="4" w:space="0" w:color="auto"/>
              <w:right w:val="single" w:sz="4" w:space="0" w:color="auto"/>
            </w:tcBorders>
          </w:tcPr>
          <w:p w14:paraId="5E1477B1" w14:textId="77777777" w:rsidR="00763135" w:rsidRDefault="00763135" w:rsidP="003F5481">
            <w:pPr>
              <w:pStyle w:val="Extmemo"/>
              <w:rPr>
                <w:rFonts w:ascii="Times New Roman" w:hAnsi="Times New Roman"/>
                <w:sz w:val="22"/>
              </w:rPr>
            </w:pPr>
            <w:r>
              <w:rPr>
                <w:rFonts w:ascii="Times New Roman" w:hAnsi="Times New Roman"/>
                <w:sz w:val="22"/>
              </w:rPr>
              <w:t xml:space="preserve">Identifies employees whose state taxable wages do not equal federal taxable wages. </w:t>
            </w:r>
          </w:p>
        </w:tc>
      </w:tr>
    </w:tbl>
    <w:p w14:paraId="13E2C1E0" w14:textId="77777777" w:rsidR="00F86B32" w:rsidRDefault="00F86B32"/>
    <w:p w14:paraId="44DEC72D" w14:textId="77777777" w:rsidR="00EA0362" w:rsidRDefault="00EA0362">
      <w:pPr>
        <w:pStyle w:val="ContinuedOnNextPa"/>
        <w:outlineLvl w:val="0"/>
      </w:pPr>
    </w:p>
    <w:p w14:paraId="590F6263" w14:textId="37D41484" w:rsidR="00A83640" w:rsidRPr="008B3B89" w:rsidRDefault="00A83640" w:rsidP="00A83640">
      <w:pPr>
        <w:pStyle w:val="Heading4"/>
        <w:spacing w:after="120"/>
        <w:rPr>
          <w:rFonts w:ascii="Times New Roman" w:hAnsi="Times New Roman"/>
          <w:sz w:val="28"/>
          <w:szCs w:val="28"/>
        </w:rPr>
      </w:pPr>
      <w:r w:rsidRPr="008B3B89">
        <w:rPr>
          <w:rFonts w:ascii="Times New Roman" w:hAnsi="Times New Roman"/>
          <w:sz w:val="28"/>
          <w:szCs w:val="28"/>
        </w:rPr>
        <w:t>Summary of Quarter</w:t>
      </w:r>
      <w:r w:rsidR="00B620C0">
        <w:rPr>
          <w:rFonts w:ascii="Times New Roman" w:hAnsi="Times New Roman"/>
          <w:sz w:val="28"/>
          <w:szCs w:val="28"/>
        </w:rPr>
        <w:t>ly</w:t>
      </w:r>
      <w:r w:rsidRPr="008B3B89">
        <w:rPr>
          <w:rFonts w:ascii="Times New Roman" w:hAnsi="Times New Roman"/>
          <w:sz w:val="28"/>
          <w:szCs w:val="28"/>
        </w:rPr>
        <w:t xml:space="preserve"> and Year-to-Date Reports</w:t>
      </w:r>
    </w:p>
    <w:p w14:paraId="3E3E67A0" w14:textId="77777777" w:rsidR="00A83640" w:rsidRPr="008B3B89" w:rsidRDefault="00A83640" w:rsidP="00A83640">
      <w:pPr>
        <w:pStyle w:val="BlockLine"/>
        <w:spacing w:before="0"/>
        <w:ind w:left="1699"/>
        <w:rPr>
          <w:sz w:val="16"/>
          <w:szCs w:val="16"/>
        </w:rPr>
      </w:pPr>
    </w:p>
    <w:tbl>
      <w:tblPr>
        <w:tblW w:w="8522" w:type="dxa"/>
        <w:tblInd w:w="1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4410"/>
        <w:gridCol w:w="2762"/>
      </w:tblGrid>
      <w:tr w:rsidR="00A83640" w14:paraId="3FB2269C" w14:textId="77777777" w:rsidTr="00DA7250">
        <w:tc>
          <w:tcPr>
            <w:tcW w:w="1350" w:type="dxa"/>
          </w:tcPr>
          <w:p w14:paraId="7B1A4208" w14:textId="77777777" w:rsidR="00A83640" w:rsidRDefault="00A83640" w:rsidP="00117C79">
            <w:pPr>
              <w:pStyle w:val="BlockText"/>
              <w:jc w:val="center"/>
              <w:rPr>
                <w:b/>
                <w:sz w:val="20"/>
              </w:rPr>
            </w:pPr>
            <w:r>
              <w:rPr>
                <w:b/>
                <w:sz w:val="20"/>
              </w:rPr>
              <w:t>Report</w:t>
            </w:r>
          </w:p>
        </w:tc>
        <w:tc>
          <w:tcPr>
            <w:tcW w:w="4410" w:type="dxa"/>
          </w:tcPr>
          <w:p w14:paraId="3964361A" w14:textId="77777777" w:rsidR="00A83640" w:rsidRDefault="00A83640" w:rsidP="00117C79">
            <w:pPr>
              <w:pStyle w:val="BlockText"/>
              <w:jc w:val="center"/>
              <w:rPr>
                <w:b/>
                <w:sz w:val="20"/>
              </w:rPr>
            </w:pPr>
            <w:r>
              <w:rPr>
                <w:b/>
                <w:sz w:val="20"/>
              </w:rPr>
              <w:t>Description</w:t>
            </w:r>
          </w:p>
        </w:tc>
        <w:tc>
          <w:tcPr>
            <w:tcW w:w="2762" w:type="dxa"/>
          </w:tcPr>
          <w:p w14:paraId="547C4D66" w14:textId="77777777" w:rsidR="00A83640" w:rsidRDefault="00A83640" w:rsidP="00117C79">
            <w:pPr>
              <w:pStyle w:val="BlockText"/>
              <w:jc w:val="center"/>
              <w:rPr>
                <w:b/>
                <w:sz w:val="20"/>
              </w:rPr>
            </w:pPr>
            <w:r>
              <w:rPr>
                <w:b/>
                <w:sz w:val="20"/>
              </w:rPr>
              <w:t>Agencies Use Report to…</w:t>
            </w:r>
          </w:p>
        </w:tc>
      </w:tr>
      <w:tr w:rsidR="00A83640" w14:paraId="64EE856B" w14:textId="77777777" w:rsidTr="00DA7250">
        <w:tc>
          <w:tcPr>
            <w:tcW w:w="1350" w:type="dxa"/>
          </w:tcPr>
          <w:p w14:paraId="307FFF5F" w14:textId="77777777" w:rsidR="00A83640" w:rsidRDefault="00A83640" w:rsidP="00117C79">
            <w:pPr>
              <w:pStyle w:val="BlockText"/>
              <w:rPr>
                <w:sz w:val="20"/>
              </w:rPr>
            </w:pPr>
            <w:r>
              <w:rPr>
                <w:sz w:val="20"/>
              </w:rPr>
              <w:t>56 – Quarterly Composite Tax Report</w:t>
            </w:r>
          </w:p>
        </w:tc>
        <w:tc>
          <w:tcPr>
            <w:tcW w:w="4410" w:type="dxa"/>
          </w:tcPr>
          <w:p w14:paraId="3974AB0A" w14:textId="77777777" w:rsidR="00A83640" w:rsidRDefault="00A83640" w:rsidP="00117C79">
            <w:pPr>
              <w:pStyle w:val="BlockText"/>
              <w:rPr>
                <w:sz w:val="20"/>
              </w:rPr>
            </w:pPr>
            <w:r>
              <w:rPr>
                <w:sz w:val="20"/>
              </w:rPr>
              <w:t>Comprehensive tax report by tax unit, country, state, local, and establishment.</w:t>
            </w:r>
          </w:p>
        </w:tc>
        <w:tc>
          <w:tcPr>
            <w:tcW w:w="2762" w:type="dxa"/>
          </w:tcPr>
          <w:p w14:paraId="4BD27C11" w14:textId="77777777" w:rsidR="00A83640" w:rsidRDefault="00A83640" w:rsidP="00117C79">
            <w:pPr>
              <w:pStyle w:val="BlockText"/>
              <w:rPr>
                <w:sz w:val="20"/>
              </w:rPr>
            </w:pPr>
            <w:r>
              <w:rPr>
                <w:sz w:val="20"/>
              </w:rPr>
              <w:t>Balance year-to-date activity.  Agency use only.  Do not send to DOA.</w:t>
            </w:r>
          </w:p>
        </w:tc>
      </w:tr>
      <w:tr w:rsidR="00A83640" w14:paraId="4E18E488" w14:textId="77777777" w:rsidTr="00DA7250">
        <w:trPr>
          <w:cantSplit/>
        </w:trPr>
        <w:tc>
          <w:tcPr>
            <w:tcW w:w="1350" w:type="dxa"/>
          </w:tcPr>
          <w:p w14:paraId="2D8153A2" w14:textId="77777777" w:rsidR="00A83640" w:rsidRDefault="00A83640" w:rsidP="00117C79">
            <w:pPr>
              <w:pStyle w:val="BlockText"/>
              <w:rPr>
                <w:sz w:val="20"/>
              </w:rPr>
            </w:pPr>
            <w:r>
              <w:rPr>
                <w:sz w:val="20"/>
              </w:rPr>
              <w:t>880 – Employee Quarterly Tax Report #1</w:t>
            </w:r>
          </w:p>
        </w:tc>
        <w:tc>
          <w:tcPr>
            <w:tcW w:w="4410" w:type="dxa"/>
          </w:tcPr>
          <w:p w14:paraId="557227B2" w14:textId="51C6FC40" w:rsidR="00A83640" w:rsidRDefault="00A83640" w:rsidP="00117C79">
            <w:pPr>
              <w:pStyle w:val="BlockText"/>
              <w:rPr>
                <w:sz w:val="20"/>
              </w:rPr>
            </w:pPr>
            <w:r>
              <w:rPr>
                <w:sz w:val="20"/>
              </w:rPr>
              <w:t>Tax information by tax unit, country, state, local, establishment, and employee number for prior quarter (4</w:t>
            </w:r>
            <w:r>
              <w:rPr>
                <w:sz w:val="20"/>
                <w:vertAlign w:val="superscript"/>
              </w:rPr>
              <w:t>th</w:t>
            </w:r>
            <w:r>
              <w:rPr>
                <w:sz w:val="20"/>
              </w:rPr>
              <w:t xml:space="preserve"> </w:t>
            </w:r>
            <w:r w:rsidRPr="00E44758">
              <w:rPr>
                <w:sz w:val="20"/>
              </w:rPr>
              <w:t xml:space="preserve">quarter </w:t>
            </w:r>
            <w:r w:rsidR="00DA50E6">
              <w:rPr>
                <w:sz w:val="20"/>
              </w:rPr>
              <w:t>2021</w:t>
            </w:r>
            <w:r w:rsidRPr="00E44758">
              <w:rPr>
                <w:sz w:val="20"/>
              </w:rPr>
              <w:t>) and</w:t>
            </w:r>
            <w:r>
              <w:rPr>
                <w:sz w:val="20"/>
              </w:rPr>
              <w:t xml:space="preserve"> year-to-date.  Report contains fields usually used by agencies but does not include extraneous fields such as DI TAX.</w:t>
            </w:r>
          </w:p>
        </w:tc>
        <w:tc>
          <w:tcPr>
            <w:tcW w:w="2762" w:type="dxa"/>
            <w:vMerge w:val="restart"/>
          </w:tcPr>
          <w:p w14:paraId="1769BA33" w14:textId="77777777" w:rsidR="00A83640" w:rsidRDefault="00A83640" w:rsidP="00117C79">
            <w:pPr>
              <w:pStyle w:val="BlockText"/>
              <w:rPr>
                <w:sz w:val="20"/>
              </w:rPr>
            </w:pPr>
            <w:r>
              <w:rPr>
                <w:sz w:val="20"/>
              </w:rPr>
              <w:t>Balance year-to-date activity.  Agency use only.  Do not send to DOA.</w:t>
            </w:r>
          </w:p>
        </w:tc>
      </w:tr>
      <w:tr w:rsidR="00A83640" w14:paraId="5D945693" w14:textId="77777777" w:rsidTr="00DA7250">
        <w:trPr>
          <w:cantSplit/>
        </w:trPr>
        <w:tc>
          <w:tcPr>
            <w:tcW w:w="1350" w:type="dxa"/>
          </w:tcPr>
          <w:p w14:paraId="2C04237A" w14:textId="77777777" w:rsidR="00A83640" w:rsidRDefault="00A83640" w:rsidP="00117C79">
            <w:pPr>
              <w:pStyle w:val="BlockText"/>
              <w:rPr>
                <w:sz w:val="20"/>
              </w:rPr>
            </w:pPr>
            <w:r>
              <w:rPr>
                <w:sz w:val="20"/>
              </w:rPr>
              <w:t>881 – Employee Tax Report #2</w:t>
            </w:r>
          </w:p>
        </w:tc>
        <w:tc>
          <w:tcPr>
            <w:tcW w:w="4410" w:type="dxa"/>
          </w:tcPr>
          <w:p w14:paraId="35D1D2A4" w14:textId="674E0F26" w:rsidR="00A83640" w:rsidRDefault="00A83640" w:rsidP="00117C79">
            <w:pPr>
              <w:pStyle w:val="BlockText"/>
              <w:rPr>
                <w:sz w:val="20"/>
              </w:rPr>
            </w:pPr>
            <w:r>
              <w:rPr>
                <w:sz w:val="20"/>
              </w:rPr>
              <w:t>Tax information by tax unit, country, state, local, establishment, and employee number for prior quarter (4</w:t>
            </w:r>
            <w:r>
              <w:rPr>
                <w:sz w:val="20"/>
                <w:vertAlign w:val="superscript"/>
              </w:rPr>
              <w:t>th</w:t>
            </w:r>
            <w:r>
              <w:rPr>
                <w:sz w:val="20"/>
              </w:rPr>
              <w:t xml:space="preserve"> quarter </w:t>
            </w:r>
            <w:r w:rsidR="00DA50E6">
              <w:rPr>
                <w:sz w:val="20"/>
              </w:rPr>
              <w:t>2021</w:t>
            </w:r>
            <w:r>
              <w:rPr>
                <w:sz w:val="20"/>
              </w:rPr>
              <w:t xml:space="preserve">) and year-to-date.  Report contains fields ordinarily not used by agencies and includes fields that are normally $0 such as DI TAX.  No report unless one or more report fields have a year-to-date amount greater than zero. </w:t>
            </w:r>
          </w:p>
        </w:tc>
        <w:tc>
          <w:tcPr>
            <w:tcW w:w="2762" w:type="dxa"/>
            <w:vMerge/>
          </w:tcPr>
          <w:p w14:paraId="4D8AB6D1" w14:textId="77777777" w:rsidR="00A83640" w:rsidRDefault="00A83640" w:rsidP="00117C79">
            <w:pPr>
              <w:pStyle w:val="BlockText"/>
              <w:rPr>
                <w:sz w:val="20"/>
              </w:rPr>
            </w:pPr>
          </w:p>
        </w:tc>
      </w:tr>
    </w:tbl>
    <w:p w14:paraId="41B0C4F7" w14:textId="77777777" w:rsidR="007E5BDA" w:rsidRDefault="007E5BDA" w:rsidP="007E5BDA"/>
    <w:p w14:paraId="3581073B" w14:textId="45C2356A" w:rsidR="007E5BDA" w:rsidRDefault="007E5BDA" w:rsidP="007E5BDA">
      <w:pPr>
        <w:pStyle w:val="ContinuedOnNextPa"/>
        <w:outlineLvl w:val="0"/>
      </w:pPr>
      <w:r>
        <w:t>Continued on next page</w:t>
      </w:r>
    </w:p>
    <w:p w14:paraId="48AB1CAC" w14:textId="091B4366" w:rsidR="00E94B9C" w:rsidRDefault="00E94B9C">
      <w:pPr>
        <w:rPr>
          <w:b/>
          <w:sz w:val="28"/>
          <w:szCs w:val="28"/>
        </w:rPr>
      </w:pPr>
    </w:p>
    <w:p w14:paraId="051E1CFA" w14:textId="77777777" w:rsidR="007E5BDA" w:rsidRDefault="007E5BDA">
      <w:pPr>
        <w:rPr>
          <w:b/>
          <w:sz w:val="28"/>
          <w:szCs w:val="28"/>
        </w:rPr>
      </w:pPr>
      <w:r>
        <w:rPr>
          <w:sz w:val="28"/>
          <w:szCs w:val="28"/>
        </w:rPr>
        <w:br w:type="page"/>
      </w:r>
    </w:p>
    <w:p w14:paraId="6A69F585" w14:textId="22672C18" w:rsidR="00A83640" w:rsidRPr="00A83640" w:rsidRDefault="00E94B9C" w:rsidP="00A83640">
      <w:pPr>
        <w:pStyle w:val="Heading4"/>
        <w:spacing w:after="120"/>
        <w:rPr>
          <w:rFonts w:ascii="Times New Roman" w:hAnsi="Times New Roman"/>
          <w:b w:val="0"/>
          <w:sz w:val="24"/>
          <w:szCs w:val="24"/>
        </w:rPr>
      </w:pPr>
      <w:r>
        <w:rPr>
          <w:rFonts w:ascii="Times New Roman" w:hAnsi="Times New Roman"/>
          <w:sz w:val="28"/>
          <w:szCs w:val="28"/>
        </w:rPr>
        <w:t>Su</w:t>
      </w:r>
      <w:r w:rsidR="00A83640" w:rsidRPr="008B3B89">
        <w:rPr>
          <w:rFonts w:ascii="Times New Roman" w:hAnsi="Times New Roman"/>
          <w:sz w:val="28"/>
          <w:szCs w:val="28"/>
        </w:rPr>
        <w:t>mmary of Quarter</w:t>
      </w:r>
      <w:r w:rsidR="00B620C0">
        <w:rPr>
          <w:rFonts w:ascii="Times New Roman" w:hAnsi="Times New Roman"/>
          <w:sz w:val="28"/>
          <w:szCs w:val="28"/>
        </w:rPr>
        <w:t>ly</w:t>
      </w:r>
      <w:r w:rsidR="00A83640" w:rsidRPr="008B3B89">
        <w:rPr>
          <w:rFonts w:ascii="Times New Roman" w:hAnsi="Times New Roman"/>
          <w:sz w:val="28"/>
          <w:szCs w:val="28"/>
        </w:rPr>
        <w:t xml:space="preserve"> and Year-to-Date Reports</w:t>
      </w:r>
      <w:r w:rsidR="00A83640">
        <w:rPr>
          <w:rFonts w:ascii="Times New Roman" w:hAnsi="Times New Roman"/>
          <w:sz w:val="28"/>
          <w:szCs w:val="28"/>
        </w:rPr>
        <w:t xml:space="preserve">, </w:t>
      </w:r>
      <w:r w:rsidR="00A83640">
        <w:rPr>
          <w:rFonts w:ascii="Times New Roman" w:hAnsi="Times New Roman"/>
          <w:b w:val="0"/>
          <w:sz w:val="24"/>
          <w:szCs w:val="24"/>
        </w:rPr>
        <w:t>continued</w:t>
      </w:r>
    </w:p>
    <w:p w14:paraId="7DFCEE04" w14:textId="58CDEA4D" w:rsidR="00A83640" w:rsidRDefault="00A83640" w:rsidP="00A83640">
      <w:pPr>
        <w:pStyle w:val="BlockLine"/>
        <w:spacing w:before="0"/>
        <w:ind w:left="1699"/>
        <w:rPr>
          <w:sz w:val="16"/>
          <w:szCs w:val="16"/>
        </w:rPr>
      </w:pPr>
    </w:p>
    <w:tbl>
      <w:tblPr>
        <w:tblW w:w="8522" w:type="dxa"/>
        <w:tblInd w:w="1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4500"/>
        <w:gridCol w:w="2762"/>
      </w:tblGrid>
      <w:tr w:rsidR="00295C8C" w14:paraId="59EAA4B0" w14:textId="77777777" w:rsidTr="001E5BFF">
        <w:tc>
          <w:tcPr>
            <w:tcW w:w="1260" w:type="dxa"/>
            <w:tcBorders>
              <w:top w:val="single" w:sz="6" w:space="0" w:color="auto"/>
              <w:left w:val="single" w:sz="6" w:space="0" w:color="auto"/>
              <w:bottom w:val="single" w:sz="6" w:space="0" w:color="auto"/>
              <w:right w:val="single" w:sz="6" w:space="0" w:color="auto"/>
            </w:tcBorders>
          </w:tcPr>
          <w:p w14:paraId="190FEC48" w14:textId="77777777" w:rsidR="00295C8C" w:rsidRPr="00295C8C" w:rsidRDefault="00295C8C" w:rsidP="00295C8C">
            <w:pPr>
              <w:pStyle w:val="BlockText"/>
              <w:jc w:val="center"/>
              <w:rPr>
                <w:b/>
                <w:sz w:val="20"/>
              </w:rPr>
            </w:pPr>
            <w:r w:rsidRPr="00295C8C">
              <w:rPr>
                <w:b/>
                <w:sz w:val="20"/>
              </w:rPr>
              <w:t>Report</w:t>
            </w:r>
          </w:p>
        </w:tc>
        <w:tc>
          <w:tcPr>
            <w:tcW w:w="4500" w:type="dxa"/>
            <w:tcBorders>
              <w:top w:val="single" w:sz="6" w:space="0" w:color="auto"/>
              <w:left w:val="single" w:sz="6" w:space="0" w:color="auto"/>
              <w:bottom w:val="single" w:sz="6" w:space="0" w:color="auto"/>
              <w:right w:val="single" w:sz="6" w:space="0" w:color="auto"/>
            </w:tcBorders>
          </w:tcPr>
          <w:p w14:paraId="12E84A58" w14:textId="77777777" w:rsidR="00295C8C" w:rsidRPr="00295C8C" w:rsidRDefault="00295C8C" w:rsidP="00295C8C">
            <w:pPr>
              <w:pStyle w:val="BlockText"/>
              <w:jc w:val="center"/>
              <w:rPr>
                <w:b/>
                <w:sz w:val="20"/>
              </w:rPr>
            </w:pPr>
            <w:r w:rsidRPr="00295C8C">
              <w:rPr>
                <w:b/>
                <w:sz w:val="20"/>
              </w:rPr>
              <w:t>Description</w:t>
            </w:r>
          </w:p>
        </w:tc>
        <w:tc>
          <w:tcPr>
            <w:tcW w:w="2762" w:type="dxa"/>
            <w:tcBorders>
              <w:top w:val="single" w:sz="6" w:space="0" w:color="auto"/>
              <w:left w:val="single" w:sz="6" w:space="0" w:color="auto"/>
              <w:bottom w:val="single" w:sz="6" w:space="0" w:color="auto"/>
              <w:right w:val="single" w:sz="6" w:space="0" w:color="auto"/>
            </w:tcBorders>
          </w:tcPr>
          <w:p w14:paraId="7478D0AE" w14:textId="77777777" w:rsidR="00295C8C" w:rsidRPr="00295C8C" w:rsidRDefault="00295C8C" w:rsidP="00295C8C">
            <w:pPr>
              <w:pStyle w:val="BlockText"/>
              <w:jc w:val="center"/>
              <w:rPr>
                <w:b/>
                <w:sz w:val="20"/>
              </w:rPr>
            </w:pPr>
            <w:r w:rsidRPr="00295C8C">
              <w:rPr>
                <w:b/>
                <w:sz w:val="20"/>
              </w:rPr>
              <w:t>Agencies Use Report to…</w:t>
            </w:r>
          </w:p>
        </w:tc>
      </w:tr>
      <w:tr w:rsidR="00A83640" w14:paraId="7AB70998" w14:textId="77777777" w:rsidTr="001E5BFF">
        <w:tc>
          <w:tcPr>
            <w:tcW w:w="1260" w:type="dxa"/>
          </w:tcPr>
          <w:p w14:paraId="26FF0E39" w14:textId="77777777" w:rsidR="00A83640" w:rsidRDefault="00A83640" w:rsidP="00117C79">
            <w:pPr>
              <w:pStyle w:val="BlockText"/>
              <w:rPr>
                <w:sz w:val="20"/>
              </w:rPr>
            </w:pPr>
            <w:r>
              <w:rPr>
                <w:sz w:val="20"/>
              </w:rPr>
              <w:t>83 &amp; 883 – W-2 Audit Reports</w:t>
            </w:r>
          </w:p>
        </w:tc>
        <w:tc>
          <w:tcPr>
            <w:tcW w:w="4500" w:type="dxa"/>
          </w:tcPr>
          <w:p w14:paraId="21D16412" w14:textId="77777777" w:rsidR="00A83640" w:rsidRDefault="00A83640" w:rsidP="00117C79">
            <w:pPr>
              <w:pStyle w:val="BlockText"/>
              <w:rPr>
                <w:sz w:val="20"/>
              </w:rPr>
            </w:pPr>
            <w:r>
              <w:rPr>
                <w:sz w:val="20"/>
              </w:rPr>
              <w:t xml:space="preserve">Reports contain the information included on the W-2.  Note that FIT Taxable plus FIT Nontaxable is reported in </w:t>
            </w:r>
            <w:smartTag w:uri="urn:schemas-microsoft-com:office:smarttags" w:element="address">
              <w:smartTag w:uri="urn:schemas-microsoft-com:office:smarttags" w:element="Street">
                <w:r>
                  <w:rPr>
                    <w:sz w:val="20"/>
                  </w:rPr>
                  <w:t>Box</w:t>
                </w:r>
              </w:smartTag>
              <w:r>
                <w:rPr>
                  <w:sz w:val="20"/>
                </w:rPr>
                <w:t xml:space="preserve"> 1</w:t>
              </w:r>
            </w:smartTag>
            <w:r>
              <w:rPr>
                <w:sz w:val="20"/>
              </w:rPr>
              <w:t xml:space="preserve"> (wages, tips, other compensation).  State Wages (</w:t>
            </w:r>
            <w:smartTag w:uri="urn:schemas-microsoft-com:office:smarttags" w:element="address">
              <w:smartTag w:uri="urn:schemas-microsoft-com:office:smarttags" w:element="Street">
                <w:r>
                  <w:rPr>
                    <w:sz w:val="20"/>
                  </w:rPr>
                  <w:t>Box</w:t>
                </w:r>
              </w:smartTag>
              <w:r>
                <w:rPr>
                  <w:sz w:val="20"/>
                </w:rPr>
                <w:t xml:space="preserve"> 16</w:t>
              </w:r>
            </w:smartTag>
            <w:r>
              <w:rPr>
                <w:sz w:val="20"/>
              </w:rPr>
              <w:t xml:space="preserve">) may or may not equal to </w:t>
            </w:r>
            <w:smartTag w:uri="urn:schemas-microsoft-com:office:smarttags" w:element="address">
              <w:smartTag w:uri="urn:schemas-microsoft-com:office:smarttags" w:element="Street">
                <w:r>
                  <w:rPr>
                    <w:sz w:val="20"/>
                  </w:rPr>
                  <w:t>Box</w:t>
                </w:r>
              </w:smartTag>
              <w:r>
                <w:rPr>
                  <w:sz w:val="20"/>
                </w:rPr>
                <w:t xml:space="preserve"> 1</w:t>
              </w:r>
            </w:smartTag>
            <w:r>
              <w:rPr>
                <w:sz w:val="20"/>
              </w:rPr>
              <w:t xml:space="preserve"> depending on how your employee records are established.  </w:t>
            </w:r>
          </w:p>
        </w:tc>
        <w:tc>
          <w:tcPr>
            <w:tcW w:w="2762" w:type="dxa"/>
          </w:tcPr>
          <w:p w14:paraId="78F8C553" w14:textId="77777777" w:rsidR="00A83640" w:rsidRDefault="00A83640" w:rsidP="00117C79">
            <w:pPr>
              <w:pStyle w:val="BlockText"/>
              <w:rPr>
                <w:sz w:val="20"/>
              </w:rPr>
            </w:pPr>
            <w:r>
              <w:rPr>
                <w:sz w:val="20"/>
              </w:rPr>
              <w:t>Balance year-to-date activity.  See “Manual Year-End Adjustments Procedures” earlier in this payroll bulletin for remitting guidance.</w:t>
            </w:r>
          </w:p>
        </w:tc>
      </w:tr>
      <w:tr w:rsidR="00A83640" w14:paraId="0A918AD1" w14:textId="77777777" w:rsidTr="001E5BFF">
        <w:trPr>
          <w:cantSplit/>
        </w:trPr>
        <w:tc>
          <w:tcPr>
            <w:tcW w:w="1260" w:type="dxa"/>
          </w:tcPr>
          <w:p w14:paraId="4A6B948F" w14:textId="77777777" w:rsidR="00A83640" w:rsidRDefault="00A83640" w:rsidP="00117C79">
            <w:pPr>
              <w:pStyle w:val="BlockText"/>
              <w:rPr>
                <w:sz w:val="20"/>
              </w:rPr>
            </w:pPr>
            <w:r>
              <w:rPr>
                <w:sz w:val="20"/>
              </w:rPr>
              <w:t xml:space="preserve">U018 – Leave </w:t>
            </w:r>
          </w:p>
          <w:p w14:paraId="5EF2ECE6" w14:textId="20ED4B39" w:rsidR="00A83640" w:rsidRDefault="00A83640" w:rsidP="00117C79">
            <w:pPr>
              <w:pStyle w:val="BlockText"/>
              <w:rPr>
                <w:sz w:val="20"/>
              </w:rPr>
            </w:pPr>
            <w:r>
              <w:rPr>
                <w:sz w:val="20"/>
              </w:rPr>
              <w:t>Accounting Annual Leave Lost Report</w:t>
            </w:r>
          </w:p>
        </w:tc>
        <w:tc>
          <w:tcPr>
            <w:tcW w:w="4500" w:type="dxa"/>
          </w:tcPr>
          <w:p w14:paraId="2877285F" w14:textId="77777777" w:rsidR="00A83640" w:rsidRDefault="00A83640" w:rsidP="00117C79">
            <w:pPr>
              <w:pStyle w:val="BlockText"/>
              <w:rPr>
                <w:sz w:val="20"/>
              </w:rPr>
            </w:pPr>
            <w:r>
              <w:rPr>
                <w:sz w:val="20"/>
              </w:rPr>
              <w:t>Calendar year-end annual leave balances adjusted for maximum carry over limits.</w:t>
            </w:r>
          </w:p>
        </w:tc>
        <w:tc>
          <w:tcPr>
            <w:tcW w:w="2762" w:type="dxa"/>
            <w:vMerge w:val="restart"/>
          </w:tcPr>
          <w:p w14:paraId="7E547ECD" w14:textId="77777777" w:rsidR="00A83640" w:rsidRDefault="00A83640" w:rsidP="00117C79">
            <w:pPr>
              <w:pStyle w:val="BlockText"/>
              <w:rPr>
                <w:sz w:val="20"/>
              </w:rPr>
            </w:pPr>
            <w:r>
              <w:rPr>
                <w:sz w:val="20"/>
              </w:rPr>
              <w:t>Monitor leave activity.</w:t>
            </w:r>
          </w:p>
        </w:tc>
      </w:tr>
      <w:tr w:rsidR="00A83640" w14:paraId="6448EEEA" w14:textId="77777777" w:rsidTr="001E5BFF">
        <w:trPr>
          <w:cantSplit/>
        </w:trPr>
        <w:tc>
          <w:tcPr>
            <w:tcW w:w="1260" w:type="dxa"/>
          </w:tcPr>
          <w:p w14:paraId="0C872FA6" w14:textId="77777777" w:rsidR="00A83640" w:rsidRDefault="00A83640" w:rsidP="00117C79">
            <w:pPr>
              <w:pStyle w:val="BlockText"/>
              <w:rPr>
                <w:sz w:val="20"/>
              </w:rPr>
            </w:pPr>
            <w:r>
              <w:rPr>
                <w:sz w:val="20"/>
              </w:rPr>
              <w:t>U021 – Leave Accounting Individual Leave History</w:t>
            </w:r>
          </w:p>
        </w:tc>
        <w:tc>
          <w:tcPr>
            <w:tcW w:w="4500" w:type="dxa"/>
          </w:tcPr>
          <w:p w14:paraId="393B9DDD" w14:textId="77777777" w:rsidR="00A83640" w:rsidRDefault="00A83640" w:rsidP="00117C79">
            <w:pPr>
              <w:pStyle w:val="BlockText"/>
              <w:rPr>
                <w:sz w:val="20"/>
              </w:rPr>
            </w:pPr>
            <w:r>
              <w:rPr>
                <w:sz w:val="20"/>
              </w:rPr>
              <w:t>Leave transactions by employee for 01/10/19 to 01/09/20.</w:t>
            </w:r>
          </w:p>
        </w:tc>
        <w:tc>
          <w:tcPr>
            <w:tcW w:w="2762" w:type="dxa"/>
            <w:vMerge/>
          </w:tcPr>
          <w:p w14:paraId="3F2407B8" w14:textId="77777777" w:rsidR="00A83640" w:rsidRDefault="00A83640" w:rsidP="00117C79">
            <w:pPr>
              <w:pStyle w:val="BlockText"/>
              <w:rPr>
                <w:sz w:val="20"/>
              </w:rPr>
            </w:pPr>
          </w:p>
        </w:tc>
      </w:tr>
      <w:tr w:rsidR="00A83640" w14:paraId="096B7F66" w14:textId="77777777" w:rsidTr="001E5BFF">
        <w:tc>
          <w:tcPr>
            <w:tcW w:w="1260" w:type="dxa"/>
          </w:tcPr>
          <w:p w14:paraId="5D027560" w14:textId="77777777" w:rsidR="00A83640" w:rsidRDefault="00A83640" w:rsidP="00117C79">
            <w:pPr>
              <w:pStyle w:val="BlockText"/>
              <w:rPr>
                <w:sz w:val="20"/>
              </w:rPr>
            </w:pPr>
            <w:r>
              <w:rPr>
                <w:sz w:val="20"/>
              </w:rPr>
              <w:t>U028 – Leave Accounting Pending Annual Leave Lost</w:t>
            </w:r>
          </w:p>
        </w:tc>
        <w:tc>
          <w:tcPr>
            <w:tcW w:w="4500" w:type="dxa"/>
          </w:tcPr>
          <w:p w14:paraId="425DD312" w14:textId="77777777" w:rsidR="00A83640" w:rsidRDefault="00A83640" w:rsidP="00117C79">
            <w:pPr>
              <w:pStyle w:val="BlockText"/>
              <w:rPr>
                <w:sz w:val="20"/>
              </w:rPr>
            </w:pPr>
            <w:r>
              <w:rPr>
                <w:sz w:val="20"/>
              </w:rPr>
              <w:t>Lists employees who may potentially lose leave at the end of the year.</w:t>
            </w:r>
          </w:p>
        </w:tc>
        <w:tc>
          <w:tcPr>
            <w:tcW w:w="2762" w:type="dxa"/>
          </w:tcPr>
          <w:p w14:paraId="2477224C" w14:textId="77777777" w:rsidR="00A83640" w:rsidRDefault="00A83640" w:rsidP="00117C79">
            <w:pPr>
              <w:pStyle w:val="BlockText"/>
              <w:rPr>
                <w:sz w:val="20"/>
              </w:rPr>
            </w:pPr>
            <w:r>
              <w:rPr>
                <w:sz w:val="20"/>
              </w:rPr>
              <w:t>Monitor leave activity.  See page 13 of this bulletin for detailed instructions.</w:t>
            </w:r>
          </w:p>
        </w:tc>
      </w:tr>
      <w:tr w:rsidR="00A83640" w14:paraId="3B4C2B23" w14:textId="77777777" w:rsidTr="001E5BFF">
        <w:tc>
          <w:tcPr>
            <w:tcW w:w="1260" w:type="dxa"/>
          </w:tcPr>
          <w:p w14:paraId="7C0331F6" w14:textId="77777777" w:rsidR="00A83640" w:rsidRDefault="00A83640" w:rsidP="00117C79">
            <w:pPr>
              <w:pStyle w:val="BlockText"/>
              <w:rPr>
                <w:sz w:val="20"/>
              </w:rPr>
            </w:pPr>
            <w:r>
              <w:rPr>
                <w:sz w:val="20"/>
              </w:rPr>
              <w:t>U030 – Workers Compensation Report</w:t>
            </w:r>
          </w:p>
        </w:tc>
        <w:tc>
          <w:tcPr>
            <w:tcW w:w="4500" w:type="dxa"/>
          </w:tcPr>
          <w:p w14:paraId="21A09644" w14:textId="77777777" w:rsidR="00A83640" w:rsidRDefault="00A83640" w:rsidP="00117C79">
            <w:pPr>
              <w:pStyle w:val="BlockText"/>
              <w:rPr>
                <w:sz w:val="20"/>
              </w:rPr>
            </w:pPr>
            <w:r>
              <w:rPr>
                <w:sz w:val="20"/>
              </w:rPr>
              <w:t>Prior and current quarter amount (July - December by Workers Compensation Code).</w:t>
            </w:r>
          </w:p>
        </w:tc>
        <w:tc>
          <w:tcPr>
            <w:tcW w:w="2762" w:type="dxa"/>
          </w:tcPr>
          <w:p w14:paraId="28B177C3" w14:textId="77777777" w:rsidR="00A83640" w:rsidRDefault="00A83640" w:rsidP="00117C79">
            <w:pPr>
              <w:pStyle w:val="BlockText"/>
              <w:rPr>
                <w:sz w:val="20"/>
              </w:rPr>
            </w:pPr>
            <w:r>
              <w:rPr>
                <w:sz w:val="20"/>
              </w:rPr>
              <w:t>For information only.</w:t>
            </w:r>
          </w:p>
        </w:tc>
      </w:tr>
      <w:tr w:rsidR="00A83640" w14:paraId="29FCE6A6" w14:textId="77777777" w:rsidTr="001E5BFF">
        <w:tc>
          <w:tcPr>
            <w:tcW w:w="1260" w:type="dxa"/>
          </w:tcPr>
          <w:p w14:paraId="741FB980" w14:textId="77777777" w:rsidR="00A83640" w:rsidRDefault="00A83640" w:rsidP="00117C79">
            <w:pPr>
              <w:pStyle w:val="BlockText"/>
              <w:rPr>
                <w:sz w:val="20"/>
              </w:rPr>
            </w:pPr>
            <w:r>
              <w:rPr>
                <w:sz w:val="20"/>
              </w:rPr>
              <w:t>U035 – Leave Accounting Year-end Leave Usage Summary</w:t>
            </w:r>
          </w:p>
        </w:tc>
        <w:tc>
          <w:tcPr>
            <w:tcW w:w="4500" w:type="dxa"/>
          </w:tcPr>
          <w:p w14:paraId="001C50E6" w14:textId="77777777" w:rsidR="00A83640" w:rsidRDefault="00A83640" w:rsidP="00117C79">
            <w:pPr>
              <w:pStyle w:val="BlockText"/>
              <w:rPr>
                <w:sz w:val="20"/>
              </w:rPr>
            </w:pPr>
            <w:r>
              <w:rPr>
                <w:sz w:val="20"/>
              </w:rPr>
              <w:t>Leave usage for the calendar year for each leave type by agency.</w:t>
            </w:r>
          </w:p>
        </w:tc>
        <w:tc>
          <w:tcPr>
            <w:tcW w:w="2762" w:type="dxa"/>
          </w:tcPr>
          <w:p w14:paraId="59584286" w14:textId="77777777" w:rsidR="00A83640" w:rsidRDefault="00A83640" w:rsidP="00117C79">
            <w:pPr>
              <w:pStyle w:val="BlockText"/>
              <w:rPr>
                <w:sz w:val="20"/>
              </w:rPr>
            </w:pPr>
            <w:r>
              <w:rPr>
                <w:sz w:val="20"/>
              </w:rPr>
              <w:t>Monitor leave activity.</w:t>
            </w:r>
          </w:p>
        </w:tc>
      </w:tr>
      <w:tr w:rsidR="00A83640" w14:paraId="2D4BE253" w14:textId="77777777" w:rsidTr="001E5BFF">
        <w:tc>
          <w:tcPr>
            <w:tcW w:w="1260" w:type="dxa"/>
          </w:tcPr>
          <w:p w14:paraId="6629399B" w14:textId="77777777" w:rsidR="00A83640" w:rsidRDefault="00A83640" w:rsidP="00117C79">
            <w:pPr>
              <w:pStyle w:val="BlockText"/>
              <w:rPr>
                <w:sz w:val="20"/>
              </w:rPr>
            </w:pPr>
            <w:r>
              <w:rPr>
                <w:sz w:val="20"/>
              </w:rPr>
              <w:t>U057 – Quarterly Employee Count</w:t>
            </w:r>
          </w:p>
        </w:tc>
        <w:tc>
          <w:tcPr>
            <w:tcW w:w="4500" w:type="dxa"/>
          </w:tcPr>
          <w:p w14:paraId="5693DE34" w14:textId="77777777" w:rsidR="00A83640" w:rsidRDefault="00A83640" w:rsidP="00117C79">
            <w:pPr>
              <w:pStyle w:val="BlockText"/>
              <w:rPr>
                <w:sz w:val="20"/>
              </w:rPr>
            </w:pPr>
            <w:r>
              <w:rPr>
                <w:sz w:val="20"/>
              </w:rPr>
              <w:t>Monthly count of employees and quarterly wages by FIPS Code (Area Detail Attachment).</w:t>
            </w:r>
          </w:p>
          <w:p w14:paraId="01C04424" w14:textId="77777777" w:rsidR="00A83640" w:rsidRDefault="00A83640" w:rsidP="00117C79">
            <w:pPr>
              <w:pStyle w:val="BlockText"/>
              <w:rPr>
                <w:sz w:val="20"/>
              </w:rPr>
            </w:pPr>
          </w:p>
        </w:tc>
        <w:tc>
          <w:tcPr>
            <w:tcW w:w="2762" w:type="dxa"/>
          </w:tcPr>
          <w:p w14:paraId="4802C4FC" w14:textId="77777777" w:rsidR="00A83640" w:rsidRDefault="00A83640" w:rsidP="00117C79">
            <w:pPr>
              <w:pStyle w:val="BlockText"/>
              <w:rPr>
                <w:sz w:val="20"/>
              </w:rPr>
            </w:pPr>
            <w:r>
              <w:rPr>
                <w:sz w:val="20"/>
              </w:rPr>
              <w:t>Compare SUI wage totals to Report 56 company totals.  If different, report corrected total to VEC (see page 11).</w:t>
            </w:r>
          </w:p>
        </w:tc>
      </w:tr>
      <w:tr w:rsidR="00A83640" w14:paraId="10DB652B" w14:textId="77777777" w:rsidTr="001E5BFF">
        <w:tc>
          <w:tcPr>
            <w:tcW w:w="1260" w:type="dxa"/>
          </w:tcPr>
          <w:p w14:paraId="53364E69" w14:textId="77777777" w:rsidR="00A83640" w:rsidRDefault="00A83640" w:rsidP="00117C79">
            <w:pPr>
              <w:pStyle w:val="BlockText"/>
              <w:rPr>
                <w:sz w:val="20"/>
              </w:rPr>
            </w:pPr>
            <w:r>
              <w:rPr>
                <w:sz w:val="20"/>
              </w:rPr>
              <w:t>U090 – FIPS Code Error Report</w:t>
            </w:r>
          </w:p>
        </w:tc>
        <w:tc>
          <w:tcPr>
            <w:tcW w:w="4500" w:type="dxa"/>
          </w:tcPr>
          <w:p w14:paraId="656AFE30" w14:textId="77777777" w:rsidR="00A83640" w:rsidRDefault="00A83640" w:rsidP="00117C79">
            <w:pPr>
              <w:pStyle w:val="BlockText"/>
              <w:rPr>
                <w:sz w:val="20"/>
              </w:rPr>
            </w:pPr>
            <w:r>
              <w:rPr>
                <w:sz w:val="20"/>
              </w:rPr>
              <w:t>If any amounts are shown, these figures must be added to the totals reported to VEC (see page 11).  Additionally, employee records should be corrected in CIPPS.</w:t>
            </w:r>
          </w:p>
        </w:tc>
        <w:tc>
          <w:tcPr>
            <w:tcW w:w="2762" w:type="dxa"/>
          </w:tcPr>
          <w:p w14:paraId="54A674CB" w14:textId="77777777" w:rsidR="00A83640" w:rsidRDefault="00A83640" w:rsidP="00117C79">
            <w:pPr>
              <w:pStyle w:val="BlockText"/>
              <w:rPr>
                <w:sz w:val="20"/>
              </w:rPr>
            </w:pPr>
            <w:r>
              <w:rPr>
                <w:sz w:val="20"/>
              </w:rPr>
              <w:t>Use in conjunction with U057.</w:t>
            </w:r>
          </w:p>
        </w:tc>
      </w:tr>
      <w:tr w:rsidR="00A83640" w14:paraId="319F3964" w14:textId="77777777" w:rsidTr="001E5BFF">
        <w:tc>
          <w:tcPr>
            <w:tcW w:w="1260" w:type="dxa"/>
          </w:tcPr>
          <w:p w14:paraId="4BC4D8CB" w14:textId="77777777" w:rsidR="00A83640" w:rsidRDefault="00A83640" w:rsidP="00117C79">
            <w:pPr>
              <w:pStyle w:val="BlockText"/>
              <w:rPr>
                <w:sz w:val="20"/>
              </w:rPr>
            </w:pPr>
            <w:r>
              <w:rPr>
                <w:sz w:val="20"/>
              </w:rPr>
              <w:t>858 – Year-to-date Uncollected FICA</w:t>
            </w:r>
          </w:p>
        </w:tc>
        <w:tc>
          <w:tcPr>
            <w:tcW w:w="4500" w:type="dxa"/>
          </w:tcPr>
          <w:p w14:paraId="59BDCA19" w14:textId="77777777" w:rsidR="00A83640" w:rsidRDefault="00A83640" w:rsidP="00117C79">
            <w:pPr>
              <w:pStyle w:val="BlockText"/>
              <w:rPr>
                <w:sz w:val="20"/>
              </w:rPr>
            </w:pPr>
            <w:r>
              <w:rPr>
                <w:sz w:val="20"/>
              </w:rPr>
              <w:t>Shows employees who have uncollected OASDI and HI amounts.</w:t>
            </w:r>
          </w:p>
        </w:tc>
        <w:tc>
          <w:tcPr>
            <w:tcW w:w="2762" w:type="dxa"/>
          </w:tcPr>
          <w:p w14:paraId="60FEFF91" w14:textId="77777777" w:rsidR="00A83640" w:rsidRDefault="00A83640" w:rsidP="00117C79">
            <w:pPr>
              <w:pStyle w:val="BlockText"/>
              <w:rPr>
                <w:sz w:val="20"/>
              </w:rPr>
            </w:pPr>
            <w:r>
              <w:rPr>
                <w:sz w:val="20"/>
              </w:rPr>
              <w:t>Review to ensure propriety of uncollected amounts due to imputed life.  If not, remove from 83/883.</w:t>
            </w:r>
          </w:p>
        </w:tc>
      </w:tr>
      <w:tr w:rsidR="00A83640" w14:paraId="6ADBC5B0" w14:textId="77777777" w:rsidTr="001E5BFF">
        <w:tc>
          <w:tcPr>
            <w:tcW w:w="1260" w:type="dxa"/>
          </w:tcPr>
          <w:p w14:paraId="44697164" w14:textId="77777777" w:rsidR="00A83640" w:rsidRDefault="00A83640" w:rsidP="00117C79">
            <w:pPr>
              <w:pStyle w:val="BlockText"/>
              <w:rPr>
                <w:sz w:val="20"/>
              </w:rPr>
            </w:pPr>
            <w:r>
              <w:rPr>
                <w:sz w:val="20"/>
              </w:rPr>
              <w:t>891 – Employees With YTD Deceased Pay (Special Pay 54 &amp; 55)</w:t>
            </w:r>
          </w:p>
        </w:tc>
        <w:tc>
          <w:tcPr>
            <w:tcW w:w="4500" w:type="dxa"/>
          </w:tcPr>
          <w:p w14:paraId="1C2FEEC9" w14:textId="77777777" w:rsidR="00A83640" w:rsidRDefault="00A83640" w:rsidP="00117C79">
            <w:pPr>
              <w:pStyle w:val="BlockText"/>
              <w:rPr>
                <w:sz w:val="20"/>
              </w:rPr>
            </w:pPr>
            <w:r>
              <w:rPr>
                <w:sz w:val="20"/>
              </w:rPr>
              <w:t>Shows employees who have been paid either Deceased Pay One (Special Pay 54) or Deceased Pay Two (Special Pay 55).</w:t>
            </w:r>
          </w:p>
        </w:tc>
        <w:tc>
          <w:tcPr>
            <w:tcW w:w="2762" w:type="dxa"/>
          </w:tcPr>
          <w:p w14:paraId="75E8463F" w14:textId="77777777" w:rsidR="00A83640" w:rsidRDefault="00A83640" w:rsidP="00117C79">
            <w:pPr>
              <w:pStyle w:val="BlockText"/>
              <w:rPr>
                <w:sz w:val="20"/>
              </w:rPr>
            </w:pPr>
            <w:r>
              <w:rPr>
                <w:sz w:val="20"/>
              </w:rPr>
              <w:t>Review for accuracy.</w:t>
            </w:r>
          </w:p>
        </w:tc>
      </w:tr>
    </w:tbl>
    <w:p w14:paraId="55FA9966" w14:textId="77777777" w:rsidR="00295C8C" w:rsidRDefault="00295C8C" w:rsidP="00295C8C">
      <w:pPr>
        <w:spacing w:after="120"/>
        <w:jc w:val="center"/>
        <w:outlineLvl w:val="0"/>
        <w:rPr>
          <w:b/>
          <w:szCs w:val="24"/>
        </w:rPr>
      </w:pPr>
    </w:p>
    <w:tbl>
      <w:tblPr>
        <w:tblW w:w="0" w:type="auto"/>
        <w:tblLayout w:type="fixed"/>
        <w:tblLook w:val="0000" w:firstRow="0" w:lastRow="0" w:firstColumn="0" w:lastColumn="0" w:noHBand="0" w:noVBand="0"/>
      </w:tblPr>
      <w:tblGrid>
        <w:gridCol w:w="1440"/>
        <w:gridCol w:w="8640"/>
      </w:tblGrid>
      <w:tr w:rsidR="00A83640" w14:paraId="6D0CB6CA" w14:textId="77777777" w:rsidTr="00117C79">
        <w:tc>
          <w:tcPr>
            <w:tcW w:w="1440" w:type="dxa"/>
          </w:tcPr>
          <w:p w14:paraId="56038B31" w14:textId="77777777" w:rsidR="00A83640" w:rsidRDefault="00A83640" w:rsidP="00117C79">
            <w:pPr>
              <w:jc w:val="center"/>
              <w:rPr>
                <w:b/>
                <w:sz w:val="18"/>
              </w:rPr>
            </w:pPr>
          </w:p>
        </w:tc>
        <w:tc>
          <w:tcPr>
            <w:tcW w:w="8640" w:type="dxa"/>
          </w:tcPr>
          <w:p w14:paraId="4FF109AB" w14:textId="7696B2A1" w:rsidR="00A83640" w:rsidRDefault="00A83640" w:rsidP="001E5BFF">
            <w:pPr>
              <w:tabs>
                <w:tab w:val="left" w:pos="720"/>
                <w:tab w:val="left" w:pos="1080"/>
              </w:tabs>
              <w:ind w:left="72"/>
              <w:rPr>
                <w:sz w:val="18"/>
              </w:rPr>
            </w:pPr>
            <w:r>
              <w:t>These reports can be requested on-line on either the HSRUP or HSRUT screens</w:t>
            </w:r>
            <w:r w:rsidR="003B4E12">
              <w:t xml:space="preserve"> prior to CYE processing</w:t>
            </w:r>
            <w:r>
              <w:t xml:space="preserve">. Contact </w:t>
            </w:r>
            <w:hyperlink r:id="rId9" w:history="1">
              <w:r w:rsidRPr="00865B53">
                <w:rPr>
                  <w:rStyle w:val="Hyperlink"/>
                  <w:i/>
                </w:rPr>
                <w:t>payroll@doa.virginia.gov</w:t>
              </w:r>
            </w:hyperlink>
            <w:r>
              <w:rPr>
                <w:i/>
              </w:rPr>
              <w:t xml:space="preserve"> </w:t>
            </w:r>
            <w:r>
              <w:t>for assistance.</w:t>
            </w:r>
          </w:p>
        </w:tc>
      </w:tr>
    </w:tbl>
    <w:p w14:paraId="1BCD6323" w14:textId="77777777" w:rsidR="00A83640" w:rsidRPr="00236F81" w:rsidRDefault="00A83640" w:rsidP="00A83640">
      <w:pPr>
        <w:pStyle w:val="Heading4"/>
        <w:spacing w:after="0"/>
        <w:rPr>
          <w:rFonts w:ascii="Times New Roman" w:hAnsi="Times New Roman"/>
          <w:sz w:val="16"/>
          <w:szCs w:val="16"/>
        </w:rPr>
      </w:pPr>
    </w:p>
    <w:p w14:paraId="31610404" w14:textId="77777777" w:rsidR="00A83640" w:rsidRPr="00236F81" w:rsidRDefault="00A83640" w:rsidP="00A83640">
      <w:pPr>
        <w:pStyle w:val="BlockLine"/>
        <w:spacing w:before="0"/>
        <w:rPr>
          <w:sz w:val="16"/>
          <w:szCs w:val="16"/>
        </w:rPr>
      </w:pPr>
    </w:p>
    <w:p w14:paraId="16E970CE" w14:textId="77777777" w:rsidR="00297497" w:rsidRPr="005F3A3C" w:rsidRDefault="00297497" w:rsidP="00297497">
      <w:pPr>
        <w:rPr>
          <w:b/>
          <w:sz w:val="28"/>
          <w:szCs w:val="28"/>
        </w:rPr>
      </w:pPr>
      <w:r w:rsidRPr="005D02E4">
        <w:rPr>
          <w:b/>
          <w:sz w:val="28"/>
          <w:szCs w:val="28"/>
        </w:rPr>
        <w:t>Certification/Reconciliation Reminders</w:t>
      </w:r>
    </w:p>
    <w:p w14:paraId="149955F2" w14:textId="77777777" w:rsidR="00297497" w:rsidRDefault="00297497" w:rsidP="00297497">
      <w:pPr>
        <w:pStyle w:val="BlockLine"/>
        <w:rPr>
          <w:b/>
          <w:sz w:val="16"/>
          <w:szCs w:val="16"/>
        </w:rPr>
      </w:pPr>
    </w:p>
    <w:tbl>
      <w:tblPr>
        <w:tblW w:w="10152" w:type="dxa"/>
        <w:tblInd w:w="108" w:type="dxa"/>
        <w:tblLayout w:type="fixed"/>
        <w:tblLook w:val="0000" w:firstRow="0" w:lastRow="0" w:firstColumn="0" w:lastColumn="0" w:noHBand="0" w:noVBand="0"/>
      </w:tblPr>
      <w:tblGrid>
        <w:gridCol w:w="1242"/>
        <w:gridCol w:w="8910"/>
      </w:tblGrid>
      <w:tr w:rsidR="00297497" w14:paraId="1DF20951" w14:textId="77777777" w:rsidTr="00DA50E6">
        <w:trPr>
          <w:cantSplit/>
        </w:trPr>
        <w:tc>
          <w:tcPr>
            <w:tcW w:w="1242" w:type="dxa"/>
          </w:tcPr>
          <w:p w14:paraId="5982E6DA" w14:textId="77777777" w:rsidR="00297497" w:rsidRPr="00731B7C" w:rsidRDefault="00297497" w:rsidP="00DA50E6">
            <w:pPr>
              <w:pStyle w:val="Heading5"/>
              <w:rPr>
                <w:szCs w:val="24"/>
              </w:rPr>
            </w:pPr>
            <w:r>
              <w:rPr>
                <w:szCs w:val="24"/>
              </w:rPr>
              <w:t>Reminder</w:t>
            </w:r>
          </w:p>
        </w:tc>
        <w:tc>
          <w:tcPr>
            <w:tcW w:w="8910" w:type="dxa"/>
          </w:tcPr>
          <w:p w14:paraId="0DDF0D0B" w14:textId="2592300C" w:rsidR="00297497" w:rsidRDefault="00297497" w:rsidP="00DA50E6">
            <w:pPr>
              <w:rPr>
                <w:sz w:val="22"/>
                <w:szCs w:val="22"/>
              </w:rPr>
            </w:pPr>
            <w:r w:rsidRPr="008B10B6">
              <w:rPr>
                <w:sz w:val="22"/>
                <w:szCs w:val="22"/>
              </w:rPr>
              <w:t xml:space="preserve">Please take note of the following reminders in order to </w:t>
            </w:r>
            <w:r>
              <w:rPr>
                <w:sz w:val="22"/>
                <w:szCs w:val="22"/>
              </w:rPr>
              <w:t>facilitate your reconciliations</w:t>
            </w:r>
            <w:r w:rsidRPr="008B10B6">
              <w:rPr>
                <w:sz w:val="22"/>
                <w:szCs w:val="22"/>
              </w:rPr>
              <w:t>.</w:t>
            </w:r>
            <w:r>
              <w:rPr>
                <w:sz w:val="22"/>
                <w:szCs w:val="22"/>
              </w:rPr>
              <w:t xml:space="preserve">  Please refer to Bulletin #2019-04 </w:t>
            </w:r>
            <w:r w:rsidR="00C94D35">
              <w:rPr>
                <w:sz w:val="22"/>
                <w:szCs w:val="22"/>
              </w:rPr>
              <w:t>and #</w:t>
            </w:r>
            <w:r w:rsidR="00DA50E6">
              <w:rPr>
                <w:sz w:val="22"/>
                <w:szCs w:val="22"/>
              </w:rPr>
              <w:t>2021</w:t>
            </w:r>
            <w:r w:rsidR="00C94D35">
              <w:rPr>
                <w:sz w:val="22"/>
                <w:szCs w:val="22"/>
              </w:rPr>
              <w:t xml:space="preserve">-12 </w:t>
            </w:r>
            <w:r>
              <w:rPr>
                <w:sz w:val="22"/>
                <w:szCs w:val="22"/>
              </w:rPr>
              <w:t>for instructions on completing the quarterly recon.</w:t>
            </w:r>
          </w:p>
          <w:p w14:paraId="41041C4A" w14:textId="77777777" w:rsidR="00297497" w:rsidRPr="008B10B6" w:rsidRDefault="00297497" w:rsidP="00DA50E6">
            <w:pPr>
              <w:rPr>
                <w:sz w:val="22"/>
                <w:szCs w:val="22"/>
              </w:rPr>
            </w:pPr>
          </w:p>
          <w:p w14:paraId="0A19890F" w14:textId="6C39A9E6" w:rsidR="00BE6100" w:rsidRPr="001406A5" w:rsidRDefault="00BE6100" w:rsidP="00DA50E6">
            <w:pPr>
              <w:pStyle w:val="ListParagraph"/>
              <w:numPr>
                <w:ilvl w:val="0"/>
                <w:numId w:val="45"/>
              </w:numPr>
              <w:rPr>
                <w:rFonts w:ascii="Times New Roman" w:hAnsi="Times New Roman"/>
                <w:b/>
              </w:rPr>
            </w:pPr>
            <w:r w:rsidRPr="001406A5">
              <w:rPr>
                <w:rFonts w:ascii="Times New Roman" w:hAnsi="Times New Roman"/>
                <w:b/>
              </w:rPr>
              <w:t>A revised version of the CYE workbook will be available on DOA’s website on 12/</w:t>
            </w:r>
            <w:r w:rsidR="006C7495">
              <w:rPr>
                <w:rFonts w:ascii="Times New Roman" w:hAnsi="Times New Roman"/>
                <w:b/>
              </w:rPr>
              <w:t>13</w:t>
            </w:r>
            <w:r w:rsidRPr="001406A5">
              <w:rPr>
                <w:rFonts w:ascii="Times New Roman" w:hAnsi="Times New Roman"/>
                <w:b/>
              </w:rPr>
              <w:t>.  Please save and use this most recent version for your CYE package submission.</w:t>
            </w:r>
          </w:p>
          <w:p w14:paraId="55BE0CB0" w14:textId="6428BE4D" w:rsidR="00297497" w:rsidRDefault="00297497" w:rsidP="00DA50E6">
            <w:pPr>
              <w:pStyle w:val="ListParagraph"/>
              <w:numPr>
                <w:ilvl w:val="0"/>
                <w:numId w:val="45"/>
              </w:numPr>
              <w:rPr>
                <w:rFonts w:ascii="Times New Roman" w:hAnsi="Times New Roman"/>
              </w:rPr>
            </w:pPr>
            <w:r>
              <w:rPr>
                <w:rFonts w:ascii="Times New Roman" w:hAnsi="Times New Roman"/>
              </w:rPr>
              <w:t xml:space="preserve">Follow the directions provided on the Instructions and Printing tab.  Pay close attention to Section 8, “What to Submit”.  The only printed documents required with the CYE certification submission are copies of the Report 83 final </w:t>
            </w:r>
            <w:r w:rsidRPr="005F0F42">
              <w:rPr>
                <w:rFonts w:ascii="Times New Roman" w:hAnsi="Times New Roman"/>
              </w:rPr>
              <w:t>BREAK TOTALS FOR EMP CO</w:t>
            </w:r>
            <w:r>
              <w:rPr>
                <w:rFonts w:ascii="Times New Roman" w:hAnsi="Times New Roman"/>
              </w:rPr>
              <w:t xml:space="preserve"> ### pages (with adjusted totals and FO/Proxy signature) and the report 883 pages for individual employees with adjustments and the Final Total page (with adjusted totals and FO/Proxy).  The CYE workbook must be completed and submitted in the EXCEL format. </w:t>
            </w:r>
          </w:p>
          <w:p w14:paraId="76F9928D" w14:textId="5687F3A0"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A</w:t>
            </w:r>
            <w:r>
              <w:rPr>
                <w:rFonts w:ascii="Times New Roman" w:hAnsi="Times New Roman"/>
              </w:rPr>
              <w:t>ll</w:t>
            </w:r>
            <w:r w:rsidRPr="008B10B6">
              <w:rPr>
                <w:rFonts w:ascii="Times New Roman" w:hAnsi="Times New Roman"/>
              </w:rPr>
              <w:t xml:space="preserve"> manual adjustments </w:t>
            </w:r>
            <w:r>
              <w:rPr>
                <w:rFonts w:ascii="Times New Roman" w:hAnsi="Times New Roman"/>
              </w:rPr>
              <w:t xml:space="preserve">previously </w:t>
            </w:r>
            <w:r w:rsidRPr="008B10B6">
              <w:rPr>
                <w:rFonts w:ascii="Times New Roman" w:hAnsi="Times New Roman"/>
              </w:rPr>
              <w:t>submitted to DOA must be keyed into PAT.</w:t>
            </w:r>
            <w:r>
              <w:rPr>
                <w:rFonts w:ascii="Times New Roman" w:hAnsi="Times New Roman"/>
              </w:rPr>
              <w:t xml:space="preserve">  (See bulletin #</w:t>
            </w:r>
            <w:r w:rsidR="00DA50E6">
              <w:rPr>
                <w:rFonts w:ascii="Times New Roman" w:hAnsi="Times New Roman"/>
              </w:rPr>
              <w:t>2021</w:t>
            </w:r>
            <w:r>
              <w:rPr>
                <w:rFonts w:ascii="Times New Roman" w:hAnsi="Times New Roman"/>
              </w:rPr>
              <w:t>-12 for instructions on entering adjustments in PAT.)</w:t>
            </w:r>
          </w:p>
          <w:p w14:paraId="5F782A86" w14:textId="77777777" w:rsidR="00297497" w:rsidRPr="002B65D6" w:rsidRDefault="00297497" w:rsidP="00DA50E6">
            <w:pPr>
              <w:pStyle w:val="ListParagraph"/>
              <w:numPr>
                <w:ilvl w:val="0"/>
                <w:numId w:val="45"/>
              </w:numPr>
              <w:rPr>
                <w:rFonts w:ascii="Times New Roman" w:hAnsi="Times New Roman"/>
                <w:b/>
              </w:rPr>
            </w:pPr>
            <w:r w:rsidRPr="002B65D6">
              <w:rPr>
                <w:rFonts w:ascii="Times New Roman" w:hAnsi="Times New Roman"/>
                <w:b/>
              </w:rPr>
              <w:t>If PAT does not balance to Report 56/U092 an adjusting entry must be entered in PAT to balance (see instructions below).  Research to find the employee(s) causing the difference and the reason.</w:t>
            </w:r>
            <w:r>
              <w:rPr>
                <w:rFonts w:ascii="Times New Roman" w:hAnsi="Times New Roman"/>
                <w:b/>
              </w:rPr>
              <w:t xml:space="preserve">  </w:t>
            </w:r>
          </w:p>
          <w:p w14:paraId="200447E6" w14:textId="77777777"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 xml:space="preserve">Make sure the amount of Uncollected FICA located on page 2 of Report U092 </w:t>
            </w:r>
            <w:r>
              <w:rPr>
                <w:rFonts w:ascii="Times New Roman" w:hAnsi="Times New Roman"/>
              </w:rPr>
              <w:t xml:space="preserve">is entered </w:t>
            </w:r>
            <w:r w:rsidRPr="008B10B6">
              <w:rPr>
                <w:rFonts w:ascii="Times New Roman" w:hAnsi="Times New Roman"/>
              </w:rPr>
              <w:t>in the designated area at the bottom of the Reports Reconciliation Tab.</w:t>
            </w:r>
          </w:p>
          <w:p w14:paraId="5F4707A3" w14:textId="77777777"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FIT Non-Taxable for any reason other than Deceased Pay 054</w:t>
            </w:r>
            <w:r>
              <w:rPr>
                <w:rFonts w:ascii="Times New Roman" w:hAnsi="Times New Roman"/>
              </w:rPr>
              <w:t xml:space="preserve"> </w:t>
            </w:r>
            <w:r w:rsidRPr="008B10B6">
              <w:rPr>
                <w:rFonts w:ascii="Times New Roman" w:hAnsi="Times New Roman"/>
              </w:rPr>
              <w:t>must be corrected.</w:t>
            </w:r>
          </w:p>
          <w:p w14:paraId="42FCE430" w14:textId="77777777"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On the Quarterly Certification page all differences in section 1 MUST be zero before submitting.</w:t>
            </w:r>
          </w:p>
          <w:p w14:paraId="7ACAD575" w14:textId="77777777"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On the Quarterly Certification page all differences in section 2-5 MUST be explained on the Differences Explanation Tab and must be corrected by submitting an Employee Adjustment Form</w:t>
            </w:r>
            <w:r>
              <w:rPr>
                <w:rFonts w:ascii="Times New Roman" w:hAnsi="Times New Roman"/>
              </w:rPr>
              <w:t xml:space="preserve"> within the CYE Reconciliation and Certification package</w:t>
            </w:r>
            <w:r w:rsidRPr="008B10B6">
              <w:rPr>
                <w:rFonts w:ascii="Times New Roman" w:hAnsi="Times New Roman"/>
              </w:rPr>
              <w:t>.</w:t>
            </w:r>
          </w:p>
          <w:p w14:paraId="526BE968" w14:textId="77777777"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 xml:space="preserve">All adjustment forms submitted </w:t>
            </w:r>
            <w:r>
              <w:rPr>
                <w:rFonts w:ascii="Times New Roman" w:hAnsi="Times New Roman"/>
              </w:rPr>
              <w:t xml:space="preserve">in the CYE C&amp;R package </w:t>
            </w:r>
            <w:r w:rsidRPr="008B10B6">
              <w:rPr>
                <w:rFonts w:ascii="Times New Roman" w:hAnsi="Times New Roman"/>
              </w:rPr>
              <w:t>MUST have a detailed explanation.</w:t>
            </w:r>
          </w:p>
          <w:p w14:paraId="10E61705" w14:textId="77777777" w:rsidR="00297497" w:rsidRDefault="00297497" w:rsidP="00DA50E6">
            <w:pPr>
              <w:pStyle w:val="ListParagraph"/>
              <w:numPr>
                <w:ilvl w:val="0"/>
                <w:numId w:val="45"/>
              </w:numPr>
              <w:rPr>
                <w:rFonts w:ascii="Times New Roman" w:hAnsi="Times New Roman"/>
              </w:rPr>
            </w:pPr>
            <w:r w:rsidRPr="008B10B6">
              <w:rPr>
                <w:rFonts w:ascii="Times New Roman" w:hAnsi="Times New Roman"/>
              </w:rPr>
              <w:t>Prior to submission</w:t>
            </w:r>
            <w:r>
              <w:rPr>
                <w:rFonts w:ascii="Times New Roman" w:hAnsi="Times New Roman"/>
              </w:rPr>
              <w:t>,</w:t>
            </w:r>
            <w:r w:rsidRPr="008B10B6">
              <w:rPr>
                <w:rFonts w:ascii="Times New Roman" w:hAnsi="Times New Roman"/>
              </w:rPr>
              <w:t xml:space="preserve"> please check the </w:t>
            </w:r>
            <w:r>
              <w:rPr>
                <w:rFonts w:ascii="Times New Roman" w:hAnsi="Times New Roman"/>
              </w:rPr>
              <w:t>CYE workbook</w:t>
            </w:r>
            <w:r w:rsidRPr="008B10B6">
              <w:rPr>
                <w:rFonts w:ascii="Times New Roman" w:hAnsi="Times New Roman"/>
              </w:rPr>
              <w:t xml:space="preserve"> for errors and completeness.  Incorrect or incomplete certifications will not be accepted.</w:t>
            </w:r>
          </w:p>
          <w:p w14:paraId="660DE54B" w14:textId="77777777" w:rsidR="00297497" w:rsidRPr="008B10B6" w:rsidRDefault="00297497" w:rsidP="00DA50E6">
            <w:pPr>
              <w:pStyle w:val="ListParagraph"/>
              <w:numPr>
                <w:ilvl w:val="0"/>
                <w:numId w:val="45"/>
              </w:numPr>
              <w:rPr>
                <w:rFonts w:ascii="Times New Roman" w:hAnsi="Times New Roman"/>
              </w:rPr>
            </w:pPr>
            <w:r w:rsidRPr="008B10B6">
              <w:rPr>
                <w:rFonts w:ascii="Times New Roman" w:hAnsi="Times New Roman"/>
              </w:rPr>
              <w:t xml:space="preserve">The Quarterly </w:t>
            </w:r>
            <w:r>
              <w:rPr>
                <w:rFonts w:ascii="Times New Roman" w:hAnsi="Times New Roman"/>
              </w:rPr>
              <w:t xml:space="preserve">and Year-End </w:t>
            </w:r>
            <w:r w:rsidRPr="008B10B6">
              <w:rPr>
                <w:rFonts w:ascii="Times New Roman" w:hAnsi="Times New Roman"/>
              </w:rPr>
              <w:t>Certification</w:t>
            </w:r>
            <w:r>
              <w:rPr>
                <w:rFonts w:ascii="Times New Roman" w:hAnsi="Times New Roman"/>
              </w:rPr>
              <w:t>s</w:t>
            </w:r>
            <w:r w:rsidRPr="008B10B6">
              <w:rPr>
                <w:rFonts w:ascii="Times New Roman" w:hAnsi="Times New Roman"/>
              </w:rPr>
              <w:t xml:space="preserve"> must be signed by your agency’s Fiscal Officer or Proxy.</w:t>
            </w:r>
            <w:r w:rsidRPr="007157CD">
              <w:rPr>
                <w:rFonts w:ascii="Times New Roman" w:hAnsi="Times New Roman"/>
                <w:b/>
              </w:rPr>
              <w:t xml:space="preserve"> Electronic signatures will be accepted, but </w:t>
            </w:r>
            <w:r>
              <w:rPr>
                <w:rFonts w:ascii="Times New Roman" w:hAnsi="Times New Roman"/>
                <w:b/>
              </w:rPr>
              <w:t>the CYE package (Excel Workbook and 83, 883 pages)</w:t>
            </w:r>
            <w:r w:rsidRPr="007157CD">
              <w:rPr>
                <w:rFonts w:ascii="Times New Roman" w:hAnsi="Times New Roman"/>
                <w:b/>
              </w:rPr>
              <w:t xml:space="preserve"> must be emailed by the Certifying Officer.</w:t>
            </w:r>
          </w:p>
          <w:p w14:paraId="3E225D37" w14:textId="77777777" w:rsidR="00297497" w:rsidRPr="005F0F42" w:rsidRDefault="00297497" w:rsidP="00DA50E6">
            <w:pPr>
              <w:ind w:left="360"/>
            </w:pPr>
          </w:p>
          <w:p w14:paraId="475EE132" w14:textId="77777777" w:rsidR="00297497" w:rsidRPr="00927829" w:rsidRDefault="00297497" w:rsidP="00DA50E6">
            <w:pPr>
              <w:ind w:left="360"/>
            </w:pPr>
          </w:p>
        </w:tc>
      </w:tr>
    </w:tbl>
    <w:p w14:paraId="695C2D35" w14:textId="77777777" w:rsidR="00297497" w:rsidRPr="007E5BDA" w:rsidRDefault="00297497" w:rsidP="00297497">
      <w:pPr>
        <w:pStyle w:val="BlockLine"/>
        <w:jc w:val="right"/>
        <w:rPr>
          <w:i/>
          <w:sz w:val="20"/>
        </w:rPr>
      </w:pPr>
      <w:r w:rsidRPr="007E5BDA">
        <w:rPr>
          <w:i/>
          <w:sz w:val="20"/>
        </w:rPr>
        <w:t>Continued on the next page</w:t>
      </w:r>
    </w:p>
    <w:p w14:paraId="103F40B8" w14:textId="77777777" w:rsidR="00297497" w:rsidRPr="005D02E4" w:rsidRDefault="00297497" w:rsidP="00297497">
      <w:pPr>
        <w:rPr>
          <w:b/>
          <w:sz w:val="28"/>
          <w:szCs w:val="28"/>
        </w:rPr>
      </w:pPr>
    </w:p>
    <w:p w14:paraId="65A28CFC" w14:textId="77777777" w:rsidR="00297497" w:rsidRDefault="00297497" w:rsidP="00297497">
      <w:pPr>
        <w:rPr>
          <w:b/>
          <w:sz w:val="28"/>
        </w:rPr>
      </w:pPr>
      <w:r>
        <w:rPr>
          <w:b/>
          <w:sz w:val="28"/>
          <w:szCs w:val="28"/>
        </w:rPr>
        <w:br w:type="page"/>
      </w:r>
    </w:p>
    <w:p w14:paraId="4CEB9751" w14:textId="31AA5855" w:rsidR="00EA0362" w:rsidRPr="007F7B29" w:rsidRDefault="00EA0362" w:rsidP="00AE1962">
      <w:pPr>
        <w:spacing w:after="120"/>
        <w:rPr>
          <w:rFonts w:ascii="Times New Roman Bold" w:hAnsi="Times New Roman Bold"/>
          <w:b/>
          <w:sz w:val="28"/>
          <w:szCs w:val="28"/>
        </w:rPr>
      </w:pPr>
      <w:r w:rsidRPr="007F7B29">
        <w:rPr>
          <w:rFonts w:ascii="Times New Roman Bold" w:hAnsi="Times New Roman Bold"/>
          <w:b/>
          <w:sz w:val="28"/>
          <w:szCs w:val="28"/>
        </w:rPr>
        <w:t xml:space="preserve">Year-End </w:t>
      </w:r>
      <w:r w:rsidR="00666F38">
        <w:rPr>
          <w:rFonts w:ascii="Times New Roman Bold" w:hAnsi="Times New Roman Bold"/>
          <w:b/>
          <w:sz w:val="28"/>
          <w:szCs w:val="28"/>
        </w:rPr>
        <w:t>Certification</w:t>
      </w:r>
    </w:p>
    <w:p w14:paraId="0518D3FF" w14:textId="77777777" w:rsidR="00EA0362" w:rsidRPr="006E25FD" w:rsidRDefault="00EA0362" w:rsidP="00AE1962">
      <w:pPr>
        <w:pStyle w:val="BlockLine"/>
        <w:spacing w:before="0"/>
        <w:ind w:left="1699"/>
        <w:rPr>
          <w:sz w:val="16"/>
          <w:szCs w:val="16"/>
        </w:rPr>
      </w:pPr>
    </w:p>
    <w:tbl>
      <w:tblPr>
        <w:tblW w:w="10188" w:type="dxa"/>
        <w:tblLayout w:type="fixed"/>
        <w:tblLook w:val="0000" w:firstRow="0" w:lastRow="0" w:firstColumn="0" w:lastColumn="0" w:noHBand="0" w:noVBand="0"/>
      </w:tblPr>
      <w:tblGrid>
        <w:gridCol w:w="1638"/>
        <w:gridCol w:w="190"/>
        <w:gridCol w:w="1520"/>
        <w:gridCol w:w="6732"/>
        <w:gridCol w:w="108"/>
      </w:tblGrid>
      <w:tr w:rsidR="00EA0362" w14:paraId="33C6637B" w14:textId="77777777" w:rsidTr="006C1808">
        <w:trPr>
          <w:cantSplit/>
        </w:trPr>
        <w:tc>
          <w:tcPr>
            <w:tcW w:w="1638" w:type="dxa"/>
          </w:tcPr>
          <w:p w14:paraId="2489A1C0" w14:textId="7CCDD6DA" w:rsidR="00EA0362" w:rsidRDefault="00EA0362" w:rsidP="00612600">
            <w:pPr>
              <w:pStyle w:val="Heading5"/>
            </w:pPr>
            <w:bookmarkStart w:id="4" w:name="_Toc401048302"/>
            <w:bookmarkStart w:id="5" w:name="_Toc401642799"/>
            <w:r>
              <w:br w:type="page"/>
            </w:r>
            <w:bookmarkEnd w:id="4"/>
            <w:bookmarkEnd w:id="5"/>
            <w:r>
              <w:t>Year-End</w:t>
            </w:r>
            <w:r w:rsidR="009B7649">
              <w:t xml:space="preserve"> </w:t>
            </w:r>
            <w:r w:rsidR="00612600">
              <w:t>Reconciliation</w:t>
            </w:r>
            <w:r>
              <w:t xml:space="preserve"> Procedures</w:t>
            </w:r>
          </w:p>
        </w:tc>
        <w:tc>
          <w:tcPr>
            <w:tcW w:w="8550" w:type="dxa"/>
            <w:gridSpan w:val="4"/>
          </w:tcPr>
          <w:p w14:paraId="4F0EFA7F" w14:textId="77777777" w:rsidR="00EA0362" w:rsidRDefault="00EA0362">
            <w:pPr>
              <w:pStyle w:val="Extmemo"/>
              <w:rPr>
                <w:rFonts w:ascii="Times New Roman" w:hAnsi="Times New Roman"/>
              </w:rPr>
            </w:pPr>
            <w:r>
              <w:rPr>
                <w:rFonts w:ascii="Times New Roman" w:hAnsi="Times New Roman"/>
              </w:rPr>
              <w:t>Follow these instructions regarding year-end adjustments and certification.</w:t>
            </w:r>
          </w:p>
          <w:p w14:paraId="0CACB960" w14:textId="77777777" w:rsidR="00EA0362" w:rsidRDefault="00EA0362">
            <w:pPr>
              <w:pStyle w:val="Extmemo"/>
              <w:rPr>
                <w:rFonts w:ascii="Times New Roman" w:hAnsi="Times New Roman"/>
                <w:sz w:val="16"/>
              </w:rPr>
            </w:pPr>
          </w:p>
          <w:p w14:paraId="718CD983" w14:textId="6CE1EAE9" w:rsidR="00612600" w:rsidRDefault="00612600">
            <w:pPr>
              <w:pStyle w:val="Extmemo"/>
              <w:numPr>
                <w:ilvl w:val="0"/>
                <w:numId w:val="8"/>
              </w:numPr>
              <w:rPr>
                <w:rFonts w:ascii="Times New Roman" w:hAnsi="Times New Roman"/>
              </w:rPr>
            </w:pPr>
            <w:r>
              <w:rPr>
                <w:rFonts w:ascii="Times New Roman" w:hAnsi="Times New Roman"/>
              </w:rPr>
              <w:t>Enter amounts from Reports 83/883 in column B and C of the Reconciliation worksheet contained in the CYE Reconciliation and Certification workbook.</w:t>
            </w:r>
          </w:p>
          <w:p w14:paraId="2B0C32F8" w14:textId="77777777" w:rsidR="00612600" w:rsidRPr="001E5BFF" w:rsidRDefault="00612600" w:rsidP="00612600">
            <w:pPr>
              <w:pStyle w:val="Extmemo"/>
              <w:ind w:left="360"/>
              <w:rPr>
                <w:rFonts w:ascii="Times New Roman" w:hAnsi="Times New Roman"/>
                <w:sz w:val="16"/>
                <w:szCs w:val="16"/>
              </w:rPr>
            </w:pPr>
          </w:p>
          <w:p w14:paraId="5950462E" w14:textId="3C592A35" w:rsidR="00EA0362" w:rsidRDefault="007E25EF">
            <w:pPr>
              <w:pStyle w:val="Extmemo"/>
              <w:numPr>
                <w:ilvl w:val="0"/>
                <w:numId w:val="8"/>
              </w:numPr>
              <w:rPr>
                <w:rFonts w:ascii="Times New Roman" w:hAnsi="Times New Roman"/>
              </w:rPr>
            </w:pPr>
            <w:r>
              <w:rPr>
                <w:rFonts w:ascii="Times New Roman" w:hAnsi="Times New Roman"/>
              </w:rPr>
              <w:t>If you have adjustments, e</w:t>
            </w:r>
            <w:r w:rsidR="00EA0362">
              <w:rPr>
                <w:rFonts w:ascii="Times New Roman" w:hAnsi="Times New Roman"/>
              </w:rPr>
              <w:t xml:space="preserve">nter the </w:t>
            </w:r>
            <w:r w:rsidR="00CE1115">
              <w:rPr>
                <w:rFonts w:ascii="Times New Roman" w:hAnsi="Times New Roman"/>
                <w:b/>
              </w:rPr>
              <w:t xml:space="preserve">YTD </w:t>
            </w:r>
            <w:r w:rsidR="00CE1115">
              <w:rPr>
                <w:rFonts w:ascii="Times New Roman" w:hAnsi="Times New Roman"/>
              </w:rPr>
              <w:t>current and corrected amounts</w:t>
            </w:r>
            <w:r w:rsidR="00EA0362">
              <w:rPr>
                <w:rFonts w:ascii="Times New Roman" w:hAnsi="Times New Roman"/>
              </w:rPr>
              <w:t xml:space="preserve"> on the </w:t>
            </w:r>
            <w:r w:rsidR="00556485">
              <w:rPr>
                <w:rFonts w:ascii="Times New Roman" w:hAnsi="Times New Roman"/>
              </w:rPr>
              <w:t xml:space="preserve">individual </w:t>
            </w:r>
            <w:r w:rsidR="00EA0362">
              <w:rPr>
                <w:rFonts w:ascii="Times New Roman" w:hAnsi="Times New Roman"/>
              </w:rPr>
              <w:t xml:space="preserve">Employee Adjustment </w:t>
            </w:r>
            <w:r w:rsidR="00556485">
              <w:rPr>
                <w:rFonts w:ascii="Times New Roman" w:hAnsi="Times New Roman"/>
              </w:rPr>
              <w:t>worksheet</w:t>
            </w:r>
            <w:r w:rsidR="00612600">
              <w:rPr>
                <w:rFonts w:ascii="Times New Roman" w:hAnsi="Times New Roman"/>
              </w:rPr>
              <w:t>s</w:t>
            </w:r>
            <w:r w:rsidR="00556485">
              <w:rPr>
                <w:rFonts w:ascii="Times New Roman" w:hAnsi="Times New Roman"/>
              </w:rPr>
              <w:t>,</w:t>
            </w:r>
            <w:r w:rsidR="00EA0362">
              <w:rPr>
                <w:rFonts w:ascii="Times New Roman" w:hAnsi="Times New Roman"/>
              </w:rPr>
              <w:t xml:space="preserve"> </w:t>
            </w:r>
            <w:r w:rsidR="00EA0362" w:rsidRPr="00CB24F9">
              <w:rPr>
                <w:rFonts w:ascii="Times New Roman" w:hAnsi="Times New Roman"/>
                <w:i/>
              </w:rPr>
              <w:t>not the amount to be added to or subtracted from the incorrect amount</w:t>
            </w:r>
            <w:r w:rsidR="00EA0362">
              <w:rPr>
                <w:rFonts w:ascii="Times New Roman" w:hAnsi="Times New Roman"/>
              </w:rPr>
              <w:t xml:space="preserve">.  Identify corrections to all required fields (e.g., YTD employee and employer </w:t>
            </w:r>
            <w:r w:rsidR="00556485">
              <w:rPr>
                <w:rFonts w:ascii="Times New Roman" w:hAnsi="Times New Roman"/>
              </w:rPr>
              <w:t>amounts</w:t>
            </w:r>
            <w:r w:rsidR="00EA0362">
              <w:rPr>
                <w:rFonts w:ascii="Times New Roman" w:hAnsi="Times New Roman"/>
              </w:rPr>
              <w:t>).</w:t>
            </w:r>
          </w:p>
          <w:p w14:paraId="77A1364A" w14:textId="77777777" w:rsidR="00EA0362" w:rsidRPr="001E5BFF" w:rsidRDefault="00EA0362">
            <w:pPr>
              <w:pStyle w:val="Extmemo"/>
              <w:rPr>
                <w:rFonts w:ascii="Times New Roman" w:hAnsi="Times New Roman"/>
                <w:sz w:val="16"/>
                <w:szCs w:val="16"/>
              </w:rPr>
            </w:pPr>
          </w:p>
          <w:p w14:paraId="1818FCCB" w14:textId="05739B44" w:rsidR="00EA0362" w:rsidRDefault="00EA0362">
            <w:pPr>
              <w:pStyle w:val="Extmemo"/>
              <w:numPr>
                <w:ilvl w:val="0"/>
                <w:numId w:val="9"/>
              </w:numPr>
              <w:rPr>
                <w:rFonts w:ascii="Times New Roman" w:hAnsi="Times New Roman"/>
              </w:rPr>
            </w:pPr>
            <w:r w:rsidRPr="00EF7DC7">
              <w:rPr>
                <w:rFonts w:ascii="Times New Roman" w:hAnsi="Times New Roman"/>
                <w:b/>
              </w:rPr>
              <w:t xml:space="preserve">Explain why </w:t>
            </w:r>
            <w:r w:rsidR="00153978">
              <w:rPr>
                <w:rFonts w:ascii="Times New Roman" w:hAnsi="Times New Roman"/>
                <w:b/>
              </w:rPr>
              <w:t xml:space="preserve">the </w:t>
            </w:r>
            <w:r w:rsidRPr="00EF7DC7">
              <w:rPr>
                <w:rFonts w:ascii="Times New Roman" w:hAnsi="Times New Roman"/>
                <w:b/>
              </w:rPr>
              <w:t>manual adjustment</w:t>
            </w:r>
            <w:r w:rsidR="00153978">
              <w:rPr>
                <w:rFonts w:ascii="Times New Roman" w:hAnsi="Times New Roman"/>
                <w:b/>
              </w:rPr>
              <w:t xml:space="preserve"> is necessary</w:t>
            </w:r>
            <w:r>
              <w:rPr>
                <w:rFonts w:ascii="Times New Roman" w:hAnsi="Times New Roman"/>
              </w:rPr>
              <w:t xml:space="preserve"> </w:t>
            </w:r>
            <w:r w:rsidR="00556485">
              <w:rPr>
                <w:rFonts w:ascii="Times New Roman" w:hAnsi="Times New Roman"/>
              </w:rPr>
              <w:t>in the Reason for the Adjustment box</w:t>
            </w:r>
            <w:r>
              <w:rPr>
                <w:rFonts w:ascii="Times New Roman" w:hAnsi="Times New Roman"/>
              </w:rPr>
              <w:t xml:space="preserve">.  </w:t>
            </w:r>
            <w:r w:rsidRPr="00CB24F9">
              <w:rPr>
                <w:rFonts w:ascii="Times New Roman" w:hAnsi="Times New Roman"/>
              </w:rPr>
              <w:t>Unacceptable or missing explanations will result in a delay as the adjustment will not be keyed until a written explanation is received.</w:t>
            </w:r>
          </w:p>
          <w:p w14:paraId="3F18440A" w14:textId="32202BC7" w:rsidR="001D1A66" w:rsidRPr="001E5BFF" w:rsidRDefault="001D1A66" w:rsidP="001D1A66">
            <w:pPr>
              <w:pStyle w:val="Extmemo"/>
              <w:rPr>
                <w:rFonts w:ascii="Times New Roman" w:hAnsi="Times New Roman"/>
                <w:sz w:val="16"/>
                <w:szCs w:val="16"/>
              </w:rPr>
            </w:pPr>
          </w:p>
          <w:p w14:paraId="05F58A5B" w14:textId="77777777" w:rsidR="001D1A66" w:rsidRPr="00F62274" w:rsidRDefault="001D1A66" w:rsidP="001D1A66">
            <w:pPr>
              <w:pStyle w:val="BlockText"/>
              <w:rPr>
                <w:sz w:val="20"/>
              </w:rPr>
            </w:pPr>
            <w:r w:rsidRPr="00CB24F9">
              <w:t xml:space="preserve">W-2s will be generated upon receipt of the </w:t>
            </w:r>
            <w:r>
              <w:t>complete certification package, typically on a first come, first serve basis.</w:t>
            </w:r>
          </w:p>
          <w:p w14:paraId="37C97C48" w14:textId="77777777" w:rsidR="001D1A66" w:rsidRPr="00611612" w:rsidRDefault="001D1A66" w:rsidP="001D1A66">
            <w:pPr>
              <w:pStyle w:val="BlockText"/>
              <w:rPr>
                <w:sz w:val="16"/>
                <w:szCs w:val="16"/>
              </w:rPr>
            </w:pPr>
          </w:p>
          <w:p w14:paraId="173C4B36" w14:textId="44B08539" w:rsidR="001D1A66" w:rsidRPr="00CB24F9" w:rsidRDefault="001D1A66" w:rsidP="001D1A66">
            <w:pPr>
              <w:pStyle w:val="Extmemo"/>
              <w:rPr>
                <w:rFonts w:ascii="Times New Roman" w:hAnsi="Times New Roman"/>
              </w:rPr>
            </w:pPr>
            <w:r w:rsidRPr="00CB24F9">
              <w:rPr>
                <w:b/>
              </w:rPr>
              <w:t xml:space="preserve">You will be </w:t>
            </w:r>
            <w:r w:rsidR="00E30C53">
              <w:rPr>
                <w:b/>
              </w:rPr>
              <w:t xml:space="preserve">notified </w:t>
            </w:r>
            <w:r w:rsidRPr="00CB24F9">
              <w:rPr>
                <w:b/>
              </w:rPr>
              <w:t xml:space="preserve">when W-2s for your agency </w:t>
            </w:r>
            <w:r w:rsidR="00E30C53">
              <w:rPr>
                <w:b/>
              </w:rPr>
              <w:t>have been shipped or mailed</w:t>
            </w:r>
            <w:r w:rsidRPr="00CB24F9">
              <w:rPr>
                <w:b/>
              </w:rPr>
              <w:t>.  Please do not call DOA asking when they will be ready.</w:t>
            </w:r>
          </w:p>
          <w:p w14:paraId="53D9D64C" w14:textId="77777777" w:rsidR="00EA0362" w:rsidRPr="001E5BFF" w:rsidRDefault="00EA0362">
            <w:pPr>
              <w:pStyle w:val="Extmemo"/>
              <w:rPr>
                <w:rFonts w:ascii="Times New Roman" w:hAnsi="Times New Roman"/>
                <w:sz w:val="16"/>
                <w:szCs w:val="16"/>
              </w:rPr>
            </w:pPr>
          </w:p>
          <w:p w14:paraId="0BBD1F49" w14:textId="0BDBACF6" w:rsidR="00EA0362" w:rsidRDefault="00EA0362" w:rsidP="001D1A66">
            <w:pPr>
              <w:shd w:val="pct5" w:color="auto" w:fill="auto"/>
              <w:jc w:val="center"/>
              <w:rPr>
                <w:b/>
              </w:rPr>
            </w:pPr>
            <w:r>
              <w:rPr>
                <w:b/>
              </w:rPr>
              <w:t xml:space="preserve">Return the </w:t>
            </w:r>
            <w:r w:rsidR="00556485">
              <w:rPr>
                <w:b/>
              </w:rPr>
              <w:t xml:space="preserve">Reconciliation and Certification package to </w:t>
            </w:r>
            <w:r>
              <w:rPr>
                <w:b/>
              </w:rPr>
              <w:t>DOA by</w:t>
            </w:r>
            <w:r w:rsidR="009A06D4">
              <w:rPr>
                <w:b/>
              </w:rPr>
              <w:t xml:space="preserve"> </w:t>
            </w:r>
            <w:r w:rsidR="00E610C5">
              <w:rPr>
                <w:b/>
              </w:rPr>
              <w:t>Friday</w:t>
            </w:r>
            <w:r>
              <w:rPr>
                <w:b/>
              </w:rPr>
              <w:t xml:space="preserve">, 5:00 PM, January </w:t>
            </w:r>
            <w:r w:rsidR="00E30C53">
              <w:rPr>
                <w:b/>
              </w:rPr>
              <w:t>7</w:t>
            </w:r>
            <w:r w:rsidR="003E573C">
              <w:rPr>
                <w:b/>
              </w:rPr>
              <w:t xml:space="preserve">, </w:t>
            </w:r>
            <w:r w:rsidR="0093127E">
              <w:rPr>
                <w:b/>
              </w:rPr>
              <w:t>202</w:t>
            </w:r>
            <w:r w:rsidR="00E30C53">
              <w:rPr>
                <w:b/>
              </w:rPr>
              <w:t>2</w:t>
            </w:r>
          </w:p>
          <w:p w14:paraId="5F96B5B9" w14:textId="58D202AA" w:rsidR="001D1A66" w:rsidRPr="001D1A66" w:rsidRDefault="001D1A66" w:rsidP="001D1A66">
            <w:pPr>
              <w:shd w:val="pct5" w:color="auto" w:fill="auto"/>
              <w:jc w:val="center"/>
              <w:rPr>
                <w:sz w:val="16"/>
                <w:szCs w:val="16"/>
              </w:rPr>
            </w:pPr>
          </w:p>
        </w:tc>
      </w:tr>
      <w:tr w:rsidR="00EA0362" w14:paraId="4802C99B" w14:textId="77777777" w:rsidTr="001E5BFF">
        <w:tblPrEx>
          <w:tblCellMar>
            <w:left w:w="80" w:type="dxa"/>
            <w:right w:w="80" w:type="dxa"/>
          </w:tblCellMar>
        </w:tblPrEx>
        <w:trPr>
          <w:gridBefore w:val="2"/>
          <w:gridAfter w:val="1"/>
          <w:wBefore w:w="1828" w:type="dxa"/>
          <w:wAfter w:w="108" w:type="dxa"/>
          <w:cantSplit/>
        </w:trPr>
        <w:tc>
          <w:tcPr>
            <w:tcW w:w="1520" w:type="dxa"/>
            <w:tcBorders>
              <w:top w:val="single" w:sz="6" w:space="0" w:color="auto"/>
              <w:left w:val="single" w:sz="6" w:space="0" w:color="auto"/>
              <w:bottom w:val="single" w:sz="6" w:space="0" w:color="auto"/>
              <w:right w:val="single" w:sz="6" w:space="0" w:color="auto"/>
            </w:tcBorders>
          </w:tcPr>
          <w:p w14:paraId="5CE34763" w14:textId="77777777" w:rsidR="00EA0362" w:rsidRDefault="00EA0362">
            <w:pPr>
              <w:pStyle w:val="TableHeaderText"/>
              <w:rPr>
                <w:sz w:val="22"/>
              </w:rPr>
            </w:pPr>
            <w:r>
              <w:rPr>
                <w:sz w:val="22"/>
              </w:rPr>
              <w:t>If you…</w:t>
            </w:r>
          </w:p>
        </w:tc>
        <w:tc>
          <w:tcPr>
            <w:tcW w:w="6732" w:type="dxa"/>
            <w:tcBorders>
              <w:top w:val="single" w:sz="6" w:space="0" w:color="auto"/>
              <w:left w:val="single" w:sz="6" w:space="0" w:color="auto"/>
              <w:bottom w:val="single" w:sz="6" w:space="0" w:color="auto"/>
              <w:right w:val="single" w:sz="6" w:space="0" w:color="auto"/>
            </w:tcBorders>
          </w:tcPr>
          <w:p w14:paraId="16369BC6" w14:textId="5AB5CFDD" w:rsidR="00EA0362" w:rsidRDefault="00EA0362">
            <w:pPr>
              <w:pStyle w:val="TableHeaderText"/>
              <w:rPr>
                <w:sz w:val="22"/>
              </w:rPr>
            </w:pPr>
            <w:r>
              <w:rPr>
                <w:sz w:val="22"/>
              </w:rPr>
              <w:t>Remit the following…</w:t>
            </w:r>
          </w:p>
        </w:tc>
      </w:tr>
      <w:tr w:rsidR="00EA0362" w14:paraId="52664E8D" w14:textId="77777777" w:rsidTr="001E5BFF">
        <w:tblPrEx>
          <w:tblCellMar>
            <w:left w:w="80" w:type="dxa"/>
            <w:right w:w="80" w:type="dxa"/>
          </w:tblCellMar>
        </w:tblPrEx>
        <w:trPr>
          <w:gridBefore w:val="2"/>
          <w:gridAfter w:val="1"/>
          <w:wBefore w:w="1828" w:type="dxa"/>
          <w:wAfter w:w="108" w:type="dxa"/>
          <w:cantSplit/>
        </w:trPr>
        <w:tc>
          <w:tcPr>
            <w:tcW w:w="1520" w:type="dxa"/>
            <w:tcBorders>
              <w:top w:val="single" w:sz="6" w:space="0" w:color="auto"/>
              <w:left w:val="single" w:sz="6" w:space="0" w:color="auto"/>
              <w:bottom w:val="single" w:sz="6" w:space="0" w:color="auto"/>
              <w:right w:val="single" w:sz="6" w:space="0" w:color="auto"/>
            </w:tcBorders>
          </w:tcPr>
          <w:p w14:paraId="2DFD0E82" w14:textId="77777777" w:rsidR="00EA0362" w:rsidRPr="001D1A66" w:rsidRDefault="00EA0362">
            <w:pPr>
              <w:pStyle w:val="TableText"/>
              <w:rPr>
                <w:b/>
                <w:sz w:val="22"/>
              </w:rPr>
            </w:pPr>
            <w:r w:rsidRPr="001D1A66">
              <w:rPr>
                <w:b/>
                <w:sz w:val="22"/>
              </w:rPr>
              <w:t>Have manual adjustments,</w:t>
            </w:r>
          </w:p>
        </w:tc>
        <w:tc>
          <w:tcPr>
            <w:tcW w:w="6732" w:type="dxa"/>
            <w:tcBorders>
              <w:top w:val="single" w:sz="6" w:space="0" w:color="auto"/>
              <w:left w:val="single" w:sz="6" w:space="0" w:color="auto"/>
              <w:bottom w:val="single" w:sz="6" w:space="0" w:color="auto"/>
              <w:right w:val="single" w:sz="6" w:space="0" w:color="auto"/>
            </w:tcBorders>
          </w:tcPr>
          <w:p w14:paraId="041D7195" w14:textId="53EFB7B9" w:rsidR="00301FA8" w:rsidRDefault="00612600">
            <w:pPr>
              <w:pStyle w:val="Extmemo"/>
              <w:numPr>
                <w:ilvl w:val="0"/>
                <w:numId w:val="11"/>
              </w:numPr>
              <w:rPr>
                <w:rFonts w:ascii="Times New Roman" w:hAnsi="Times New Roman"/>
                <w:sz w:val="22"/>
              </w:rPr>
            </w:pPr>
            <w:r>
              <w:rPr>
                <w:rFonts w:ascii="Times New Roman" w:hAnsi="Times New Roman"/>
                <w:sz w:val="22"/>
              </w:rPr>
              <w:t xml:space="preserve">Completed Calendar Year End Reconciliation and Certification workbook </w:t>
            </w:r>
            <w:r w:rsidR="00B86142">
              <w:rPr>
                <w:rFonts w:ascii="Times New Roman" w:hAnsi="Times New Roman"/>
                <w:sz w:val="22"/>
              </w:rPr>
              <w:t xml:space="preserve">(Excel format) </w:t>
            </w:r>
            <w:r>
              <w:rPr>
                <w:rFonts w:ascii="Times New Roman" w:hAnsi="Times New Roman"/>
                <w:sz w:val="22"/>
              </w:rPr>
              <w:t>with all necessary adjustments identified on employee adjustment worksheets</w:t>
            </w:r>
          </w:p>
          <w:p w14:paraId="5D26B445" w14:textId="77777777" w:rsidR="00301FA8" w:rsidRPr="001E5BFF" w:rsidRDefault="00301FA8" w:rsidP="00301FA8">
            <w:pPr>
              <w:pStyle w:val="Extmemo"/>
              <w:ind w:left="360"/>
              <w:rPr>
                <w:rFonts w:ascii="Times New Roman" w:hAnsi="Times New Roman"/>
                <w:sz w:val="16"/>
                <w:szCs w:val="16"/>
              </w:rPr>
            </w:pPr>
          </w:p>
          <w:p w14:paraId="60226AD7" w14:textId="76E90463" w:rsidR="00EA0362" w:rsidRPr="00301FA8" w:rsidRDefault="00EA0362" w:rsidP="00301FA8">
            <w:pPr>
              <w:pStyle w:val="Extmemo"/>
              <w:numPr>
                <w:ilvl w:val="0"/>
                <w:numId w:val="11"/>
              </w:numPr>
              <w:rPr>
                <w:rFonts w:ascii="Times New Roman" w:hAnsi="Times New Roman"/>
                <w:sz w:val="22"/>
              </w:rPr>
            </w:pPr>
            <w:r w:rsidRPr="00301FA8">
              <w:rPr>
                <w:rFonts w:ascii="Times New Roman" w:hAnsi="Times New Roman"/>
                <w:sz w:val="22"/>
              </w:rPr>
              <w:t xml:space="preserve">Original pages of Report 883 </w:t>
            </w:r>
            <w:r w:rsidR="00301FA8">
              <w:rPr>
                <w:rFonts w:ascii="Times New Roman" w:hAnsi="Times New Roman"/>
                <w:sz w:val="22"/>
              </w:rPr>
              <w:t>for each</w:t>
            </w:r>
            <w:r w:rsidRPr="00301FA8">
              <w:rPr>
                <w:rFonts w:ascii="Times New Roman" w:hAnsi="Times New Roman"/>
                <w:sz w:val="22"/>
              </w:rPr>
              <w:t xml:space="preserve"> employee who require</w:t>
            </w:r>
            <w:r w:rsidR="00301FA8">
              <w:rPr>
                <w:rFonts w:ascii="Times New Roman" w:hAnsi="Times New Roman"/>
                <w:sz w:val="22"/>
              </w:rPr>
              <w:t>s</w:t>
            </w:r>
            <w:r w:rsidRPr="00301FA8">
              <w:rPr>
                <w:rFonts w:ascii="Times New Roman" w:hAnsi="Times New Roman"/>
                <w:sz w:val="22"/>
              </w:rPr>
              <w:t xml:space="preserve"> manual adjustments</w:t>
            </w:r>
            <w:r w:rsidR="00CB24F9" w:rsidRPr="00301FA8">
              <w:rPr>
                <w:rFonts w:ascii="Times New Roman" w:hAnsi="Times New Roman"/>
                <w:sz w:val="22"/>
              </w:rPr>
              <w:t xml:space="preserve"> along with the adjusted YTD figures</w:t>
            </w:r>
            <w:r w:rsidR="00301FA8">
              <w:rPr>
                <w:rFonts w:ascii="Times New Roman" w:hAnsi="Times New Roman"/>
                <w:sz w:val="22"/>
              </w:rPr>
              <w:t xml:space="preserve"> for each field</w:t>
            </w:r>
            <w:r w:rsidRPr="00301FA8">
              <w:rPr>
                <w:rFonts w:ascii="Times New Roman" w:hAnsi="Times New Roman"/>
                <w:sz w:val="22"/>
              </w:rPr>
              <w:t>.</w:t>
            </w:r>
          </w:p>
          <w:p w14:paraId="23699D3D" w14:textId="77777777" w:rsidR="00EA0362" w:rsidRPr="00611612" w:rsidRDefault="00EA0362">
            <w:pPr>
              <w:pStyle w:val="Extmemo"/>
              <w:rPr>
                <w:rFonts w:ascii="Times New Roman" w:hAnsi="Times New Roman"/>
                <w:sz w:val="16"/>
                <w:szCs w:val="16"/>
              </w:rPr>
            </w:pPr>
          </w:p>
          <w:p w14:paraId="45045A47" w14:textId="19BC47F6" w:rsidR="00556485" w:rsidRDefault="00556485">
            <w:pPr>
              <w:pStyle w:val="Extmemo"/>
              <w:numPr>
                <w:ilvl w:val="0"/>
                <w:numId w:val="12"/>
              </w:numPr>
              <w:rPr>
                <w:rFonts w:ascii="Times New Roman" w:hAnsi="Times New Roman"/>
                <w:sz w:val="22"/>
              </w:rPr>
            </w:pPr>
            <w:r>
              <w:rPr>
                <w:rFonts w:ascii="Times New Roman" w:hAnsi="Times New Roman"/>
                <w:sz w:val="22"/>
              </w:rPr>
              <w:t xml:space="preserve">Report 883 Final Total page </w:t>
            </w:r>
            <w:r w:rsidR="00B403BA">
              <w:rPr>
                <w:rFonts w:ascii="Times New Roman" w:hAnsi="Times New Roman"/>
                <w:sz w:val="22"/>
              </w:rPr>
              <w:t xml:space="preserve">containing adjusted figures signed by agency Fiscal Officer or designated proxy </w:t>
            </w:r>
            <w:r>
              <w:rPr>
                <w:rFonts w:ascii="Times New Roman" w:hAnsi="Times New Roman"/>
                <w:sz w:val="22"/>
              </w:rPr>
              <w:t xml:space="preserve"> </w:t>
            </w:r>
          </w:p>
          <w:p w14:paraId="03697EF5" w14:textId="77777777" w:rsidR="00556485" w:rsidRPr="001E5BFF" w:rsidRDefault="00556485" w:rsidP="00556485">
            <w:pPr>
              <w:pStyle w:val="Extmemo"/>
              <w:ind w:left="360"/>
              <w:rPr>
                <w:rFonts w:ascii="Times New Roman" w:hAnsi="Times New Roman"/>
                <w:sz w:val="16"/>
                <w:szCs w:val="16"/>
              </w:rPr>
            </w:pPr>
          </w:p>
          <w:p w14:paraId="075562AB" w14:textId="5769B22C" w:rsidR="00556485" w:rsidRDefault="00AC2F58" w:rsidP="00AC2F58">
            <w:pPr>
              <w:pStyle w:val="Extmemo"/>
              <w:numPr>
                <w:ilvl w:val="0"/>
                <w:numId w:val="13"/>
              </w:numPr>
              <w:rPr>
                <w:rFonts w:ascii="Times New Roman" w:hAnsi="Times New Roman"/>
                <w:sz w:val="22"/>
              </w:rPr>
            </w:pPr>
            <w:r w:rsidRPr="00AC2F58">
              <w:rPr>
                <w:rFonts w:ascii="Times New Roman" w:hAnsi="Times New Roman"/>
                <w:sz w:val="22"/>
              </w:rPr>
              <w:t>BREAK TOTALS FOR EMP CO NO</w:t>
            </w:r>
            <w:r>
              <w:rPr>
                <w:rFonts w:ascii="Times New Roman" w:hAnsi="Times New Roman"/>
                <w:sz w:val="22"/>
              </w:rPr>
              <w:t xml:space="preserve"> ### </w:t>
            </w:r>
            <w:r w:rsidR="00EA0362">
              <w:rPr>
                <w:rFonts w:ascii="Times New Roman" w:hAnsi="Times New Roman"/>
                <w:sz w:val="22"/>
              </w:rPr>
              <w:t>page</w:t>
            </w:r>
            <w:r w:rsidR="00127DB6">
              <w:rPr>
                <w:rFonts w:ascii="Times New Roman" w:hAnsi="Times New Roman"/>
                <w:sz w:val="22"/>
              </w:rPr>
              <w:t>s</w:t>
            </w:r>
            <w:r w:rsidR="00F62274">
              <w:rPr>
                <w:rFonts w:ascii="Times New Roman" w:hAnsi="Times New Roman"/>
                <w:sz w:val="22"/>
              </w:rPr>
              <w:t xml:space="preserve"> of Report</w:t>
            </w:r>
            <w:r w:rsidR="00EA0362">
              <w:rPr>
                <w:rFonts w:ascii="Times New Roman" w:hAnsi="Times New Roman"/>
                <w:sz w:val="22"/>
              </w:rPr>
              <w:t xml:space="preserve"> 83 containing adjusted </w:t>
            </w:r>
            <w:r w:rsidR="00CB24F9">
              <w:rPr>
                <w:rFonts w:ascii="Times New Roman" w:hAnsi="Times New Roman"/>
                <w:sz w:val="22"/>
              </w:rPr>
              <w:t>figures</w:t>
            </w:r>
            <w:r w:rsidR="00301FA8">
              <w:rPr>
                <w:rFonts w:ascii="Times New Roman" w:hAnsi="Times New Roman"/>
                <w:sz w:val="22"/>
              </w:rPr>
              <w:t xml:space="preserve"> signed by agency Fiscal officer or designated proxy</w:t>
            </w:r>
            <w:r w:rsidR="00CB24F9">
              <w:rPr>
                <w:rFonts w:ascii="Times New Roman" w:hAnsi="Times New Roman"/>
                <w:sz w:val="22"/>
              </w:rPr>
              <w:t xml:space="preserve"> </w:t>
            </w:r>
            <w:r>
              <w:rPr>
                <w:rFonts w:ascii="Times New Roman" w:hAnsi="Times New Roman"/>
                <w:sz w:val="22"/>
              </w:rPr>
              <w:t>(typically the last 3 pages of the report)</w:t>
            </w:r>
          </w:p>
          <w:p w14:paraId="75A19191" w14:textId="77777777" w:rsidR="00556485" w:rsidRPr="001E5BFF" w:rsidRDefault="00556485" w:rsidP="00556485">
            <w:pPr>
              <w:pStyle w:val="Extmemo"/>
              <w:ind w:left="360"/>
              <w:rPr>
                <w:rFonts w:ascii="Times New Roman" w:hAnsi="Times New Roman"/>
                <w:sz w:val="16"/>
                <w:szCs w:val="16"/>
              </w:rPr>
            </w:pPr>
          </w:p>
          <w:p w14:paraId="3008045B" w14:textId="326D8219" w:rsidR="0022125C" w:rsidRDefault="0022125C" w:rsidP="00DA50E6">
            <w:pPr>
              <w:pStyle w:val="Extmemo"/>
              <w:numPr>
                <w:ilvl w:val="0"/>
                <w:numId w:val="13"/>
              </w:numPr>
              <w:rPr>
                <w:rFonts w:ascii="Times New Roman" w:hAnsi="Times New Roman"/>
                <w:sz w:val="22"/>
              </w:rPr>
            </w:pPr>
            <w:r w:rsidRPr="0022125C">
              <w:rPr>
                <w:rFonts w:ascii="Times New Roman" w:hAnsi="Times New Roman"/>
                <w:sz w:val="22"/>
              </w:rPr>
              <w:t>Completed 4</w:t>
            </w:r>
            <w:r w:rsidRPr="0022125C">
              <w:rPr>
                <w:rFonts w:ascii="Times New Roman" w:hAnsi="Times New Roman"/>
                <w:sz w:val="22"/>
                <w:vertAlign w:val="superscript"/>
              </w:rPr>
              <w:t>th</w:t>
            </w:r>
            <w:r w:rsidRPr="0022125C">
              <w:rPr>
                <w:rFonts w:ascii="Times New Roman" w:hAnsi="Times New Roman"/>
                <w:sz w:val="22"/>
              </w:rPr>
              <w:t xml:space="preserve"> Quarter Tax Certification </w:t>
            </w:r>
            <w:r w:rsidR="00581F95">
              <w:rPr>
                <w:rFonts w:ascii="Times New Roman" w:hAnsi="Times New Roman"/>
                <w:sz w:val="22"/>
              </w:rPr>
              <w:t xml:space="preserve">worksheet </w:t>
            </w:r>
            <w:r w:rsidRPr="0022125C">
              <w:rPr>
                <w:rFonts w:ascii="Times New Roman" w:hAnsi="Times New Roman"/>
                <w:sz w:val="22"/>
              </w:rPr>
              <w:t>contained in the Calendar Year End Reconciliation and Certification workbook signed by the agency Fiscal Officer or designated proxy</w:t>
            </w:r>
          </w:p>
          <w:p w14:paraId="37D89891" w14:textId="42687032" w:rsidR="0022125C" w:rsidRPr="0022125C" w:rsidRDefault="0022125C" w:rsidP="0022125C">
            <w:pPr>
              <w:pStyle w:val="Extmemo"/>
              <w:rPr>
                <w:rFonts w:ascii="Times New Roman" w:hAnsi="Times New Roman"/>
                <w:sz w:val="22"/>
              </w:rPr>
            </w:pPr>
          </w:p>
          <w:p w14:paraId="40C40C71" w14:textId="0B934133" w:rsidR="00EA0362" w:rsidRPr="00556485" w:rsidRDefault="00087997" w:rsidP="00556485">
            <w:pPr>
              <w:pStyle w:val="Extmemo"/>
              <w:numPr>
                <w:ilvl w:val="0"/>
                <w:numId w:val="13"/>
              </w:numPr>
              <w:rPr>
                <w:rFonts w:ascii="Times New Roman" w:hAnsi="Times New Roman"/>
                <w:sz w:val="22"/>
              </w:rPr>
            </w:pPr>
            <w:r>
              <w:rPr>
                <w:rFonts w:ascii="Times New Roman" w:hAnsi="Times New Roman"/>
                <w:sz w:val="22"/>
              </w:rPr>
              <w:t xml:space="preserve">Completed </w:t>
            </w:r>
            <w:r w:rsidR="00DA50E6">
              <w:rPr>
                <w:rFonts w:ascii="Times New Roman" w:hAnsi="Times New Roman"/>
                <w:sz w:val="22"/>
              </w:rPr>
              <w:t>2021</w:t>
            </w:r>
            <w:r w:rsidR="00EA0362">
              <w:rPr>
                <w:rFonts w:ascii="Times New Roman" w:hAnsi="Times New Roman"/>
                <w:sz w:val="22"/>
              </w:rPr>
              <w:t xml:space="preserve"> </w:t>
            </w:r>
            <w:r w:rsidR="00581F95">
              <w:rPr>
                <w:rFonts w:ascii="Times New Roman" w:hAnsi="Times New Roman"/>
                <w:sz w:val="22"/>
              </w:rPr>
              <w:t>Year-End Certification</w:t>
            </w:r>
            <w:r w:rsidR="00612600">
              <w:rPr>
                <w:rFonts w:ascii="Times New Roman" w:hAnsi="Times New Roman"/>
                <w:sz w:val="22"/>
              </w:rPr>
              <w:t xml:space="preserve"> worksheet contained in the Calendar Year End Reconciliation and Certification workbook</w:t>
            </w:r>
            <w:r w:rsidR="00301FA8">
              <w:rPr>
                <w:rFonts w:ascii="Times New Roman" w:hAnsi="Times New Roman"/>
                <w:sz w:val="22"/>
              </w:rPr>
              <w:t xml:space="preserve"> </w:t>
            </w:r>
            <w:r w:rsidR="00EA0362">
              <w:rPr>
                <w:rFonts w:ascii="Times New Roman" w:hAnsi="Times New Roman"/>
                <w:sz w:val="22"/>
              </w:rPr>
              <w:t>signed by the agency Fiscal Officer</w:t>
            </w:r>
            <w:r w:rsidR="00A41B82">
              <w:rPr>
                <w:rFonts w:ascii="Times New Roman" w:hAnsi="Times New Roman"/>
                <w:sz w:val="22"/>
              </w:rPr>
              <w:t xml:space="preserve"> or designated proxy</w:t>
            </w:r>
          </w:p>
          <w:p w14:paraId="3C1E2E08" w14:textId="77777777" w:rsidR="00EA0362" w:rsidRPr="00611612" w:rsidRDefault="00EA0362">
            <w:pPr>
              <w:pStyle w:val="Extmemo"/>
              <w:rPr>
                <w:rFonts w:ascii="Times New Roman" w:hAnsi="Times New Roman"/>
                <w:sz w:val="16"/>
                <w:szCs w:val="16"/>
              </w:rPr>
            </w:pPr>
          </w:p>
          <w:p w14:paraId="556DD071" w14:textId="4CF0795A" w:rsidR="00301FA8" w:rsidRDefault="00301FA8" w:rsidP="00CB24F9">
            <w:pPr>
              <w:pStyle w:val="Extmemo"/>
              <w:numPr>
                <w:ilvl w:val="0"/>
                <w:numId w:val="14"/>
              </w:numPr>
              <w:rPr>
                <w:sz w:val="22"/>
              </w:rPr>
            </w:pPr>
            <w:r>
              <w:rPr>
                <w:sz w:val="22"/>
              </w:rPr>
              <w:t>Electronic signatures for agency Fiscal Officer or designated proxy will be accepted as long as the email with package attached is sent by same</w:t>
            </w:r>
          </w:p>
          <w:p w14:paraId="35764024" w14:textId="77777777" w:rsidR="00301FA8" w:rsidRPr="001E5BFF" w:rsidRDefault="00301FA8" w:rsidP="00301FA8">
            <w:pPr>
              <w:pStyle w:val="Extmemo"/>
              <w:ind w:left="360"/>
              <w:rPr>
                <w:sz w:val="16"/>
                <w:szCs w:val="16"/>
              </w:rPr>
            </w:pPr>
          </w:p>
          <w:p w14:paraId="6CD8C0B8" w14:textId="718CD424" w:rsidR="00301FA8" w:rsidRPr="00301FA8" w:rsidRDefault="00EA0362" w:rsidP="00301FA8">
            <w:pPr>
              <w:pStyle w:val="Extmemo"/>
              <w:numPr>
                <w:ilvl w:val="0"/>
                <w:numId w:val="14"/>
              </w:numPr>
              <w:rPr>
                <w:sz w:val="22"/>
              </w:rPr>
            </w:pPr>
            <w:r>
              <w:rPr>
                <w:sz w:val="22"/>
              </w:rPr>
              <w:t xml:space="preserve">W-2s will be generated after all adjustments have been processed and balanced to the certified Reports 83 and 883 total pages. </w:t>
            </w:r>
          </w:p>
        </w:tc>
      </w:tr>
    </w:tbl>
    <w:p w14:paraId="2210DF6B" w14:textId="2E8C109E" w:rsidR="001D1A66" w:rsidRDefault="001D1A66" w:rsidP="001D1A66"/>
    <w:p w14:paraId="4E663691" w14:textId="1FBAF221" w:rsidR="001D1A66" w:rsidRDefault="001D1A66" w:rsidP="001D1A66"/>
    <w:p w14:paraId="56838F62" w14:textId="77777777" w:rsidR="00EA0362" w:rsidRDefault="00EA0362">
      <w:pPr>
        <w:pStyle w:val="ContinuedOnNextPa"/>
        <w:outlineLvl w:val="0"/>
      </w:pPr>
      <w:r>
        <w:t>Continued on next page</w:t>
      </w:r>
    </w:p>
    <w:p w14:paraId="1020856F" w14:textId="4EA6431B" w:rsidR="00007038" w:rsidRPr="007F7B29" w:rsidRDefault="00EC7535" w:rsidP="00AE1962">
      <w:pPr>
        <w:spacing w:after="120"/>
        <w:rPr>
          <w:rFonts w:ascii="Times New Roman Bold" w:hAnsi="Times New Roman Bold"/>
          <w:b/>
          <w:sz w:val="28"/>
          <w:szCs w:val="28"/>
        </w:rPr>
      </w:pPr>
      <w:r w:rsidRPr="008A3849">
        <w:br w:type="page"/>
      </w:r>
      <w:r w:rsidR="00007038" w:rsidRPr="007F7B29">
        <w:rPr>
          <w:rFonts w:ascii="Times New Roman Bold" w:hAnsi="Times New Roman Bold"/>
          <w:b/>
          <w:sz w:val="28"/>
          <w:szCs w:val="28"/>
        </w:rPr>
        <w:t xml:space="preserve">Year-End </w:t>
      </w:r>
      <w:r w:rsidR="00666F38">
        <w:rPr>
          <w:rFonts w:ascii="Times New Roman Bold" w:hAnsi="Times New Roman Bold"/>
          <w:b/>
          <w:sz w:val="28"/>
          <w:szCs w:val="28"/>
        </w:rPr>
        <w:t>Certification</w:t>
      </w:r>
      <w:r w:rsidR="00007038">
        <w:rPr>
          <w:rFonts w:ascii="Times New Roman Bold" w:hAnsi="Times New Roman Bold"/>
          <w:b/>
          <w:sz w:val="28"/>
          <w:szCs w:val="28"/>
        </w:rPr>
        <w:t xml:space="preserve">, </w:t>
      </w:r>
      <w:r w:rsidR="00007038" w:rsidRPr="00541373">
        <w:rPr>
          <w:szCs w:val="24"/>
        </w:rPr>
        <w:t>continued</w:t>
      </w:r>
    </w:p>
    <w:p w14:paraId="4AABBD34" w14:textId="136BDDF4" w:rsidR="00007038" w:rsidRDefault="00007038" w:rsidP="00AE1962">
      <w:pPr>
        <w:pStyle w:val="BlockLine"/>
        <w:spacing w:before="0"/>
        <w:ind w:left="1699"/>
        <w:rPr>
          <w:sz w:val="16"/>
          <w:szCs w:val="16"/>
        </w:rPr>
      </w:pPr>
    </w:p>
    <w:tbl>
      <w:tblPr>
        <w:tblW w:w="7560" w:type="dxa"/>
        <w:tblInd w:w="1792" w:type="dxa"/>
        <w:tblLayout w:type="fixed"/>
        <w:tblLook w:val="0000" w:firstRow="0" w:lastRow="0" w:firstColumn="0" w:lastColumn="0" w:noHBand="0" w:noVBand="0"/>
      </w:tblPr>
      <w:tblGrid>
        <w:gridCol w:w="1530"/>
        <w:gridCol w:w="6030"/>
      </w:tblGrid>
      <w:tr w:rsidR="001D1A66" w:rsidRPr="00DE3616" w14:paraId="71932388" w14:textId="77777777" w:rsidTr="001D1A66">
        <w:trPr>
          <w:cantSplit/>
        </w:trPr>
        <w:tc>
          <w:tcPr>
            <w:tcW w:w="1530" w:type="dxa"/>
            <w:tcBorders>
              <w:top w:val="single" w:sz="6" w:space="0" w:color="auto"/>
              <w:left w:val="single" w:sz="6" w:space="0" w:color="auto"/>
              <w:bottom w:val="single" w:sz="6" w:space="0" w:color="auto"/>
              <w:right w:val="single" w:sz="6" w:space="0" w:color="auto"/>
            </w:tcBorders>
          </w:tcPr>
          <w:p w14:paraId="083F7B43" w14:textId="2D5D44CB" w:rsidR="001D1A66" w:rsidRDefault="001D1A66" w:rsidP="001D1A66">
            <w:pPr>
              <w:pStyle w:val="Heading5"/>
              <w:jc w:val="center"/>
            </w:pPr>
            <w:r>
              <w:t>If you…</w:t>
            </w:r>
          </w:p>
        </w:tc>
        <w:tc>
          <w:tcPr>
            <w:tcW w:w="6030" w:type="dxa"/>
            <w:tcBorders>
              <w:top w:val="single" w:sz="6" w:space="0" w:color="auto"/>
              <w:left w:val="single" w:sz="6" w:space="0" w:color="auto"/>
              <w:bottom w:val="single" w:sz="6" w:space="0" w:color="auto"/>
              <w:right w:val="single" w:sz="6" w:space="0" w:color="auto"/>
            </w:tcBorders>
          </w:tcPr>
          <w:p w14:paraId="06687D14" w14:textId="5BBD0285" w:rsidR="001D1A66" w:rsidRPr="001D1A66" w:rsidRDefault="001D1A66" w:rsidP="001D1A66">
            <w:pPr>
              <w:pStyle w:val="Extmemo"/>
              <w:ind w:left="360"/>
              <w:jc w:val="center"/>
              <w:rPr>
                <w:rFonts w:ascii="Times New Roman" w:hAnsi="Times New Roman"/>
                <w:b/>
                <w:sz w:val="22"/>
                <w:szCs w:val="22"/>
              </w:rPr>
            </w:pPr>
            <w:r w:rsidRPr="001D1A66">
              <w:rPr>
                <w:rFonts w:ascii="Times New Roman" w:hAnsi="Times New Roman"/>
                <w:b/>
                <w:sz w:val="22"/>
              </w:rPr>
              <w:t>Remit the following…</w:t>
            </w:r>
          </w:p>
        </w:tc>
      </w:tr>
      <w:tr w:rsidR="001D1A66" w:rsidRPr="00DE3616" w14:paraId="2E1F2F61" w14:textId="77777777" w:rsidTr="001D1A66">
        <w:trPr>
          <w:cantSplit/>
        </w:trPr>
        <w:tc>
          <w:tcPr>
            <w:tcW w:w="1530" w:type="dxa"/>
            <w:tcBorders>
              <w:top w:val="single" w:sz="6" w:space="0" w:color="auto"/>
              <w:left w:val="single" w:sz="6" w:space="0" w:color="auto"/>
              <w:bottom w:val="single" w:sz="6" w:space="0" w:color="auto"/>
              <w:right w:val="single" w:sz="6" w:space="0" w:color="auto"/>
            </w:tcBorders>
          </w:tcPr>
          <w:p w14:paraId="2D2F843A" w14:textId="77777777" w:rsidR="001D1A66" w:rsidRDefault="001D1A66" w:rsidP="001D1A66">
            <w:pPr>
              <w:pStyle w:val="Heading5"/>
            </w:pPr>
            <w:r>
              <w:t>Do not have manual adjustments</w:t>
            </w:r>
          </w:p>
        </w:tc>
        <w:tc>
          <w:tcPr>
            <w:tcW w:w="6030" w:type="dxa"/>
            <w:tcBorders>
              <w:top w:val="single" w:sz="6" w:space="0" w:color="auto"/>
              <w:left w:val="single" w:sz="6" w:space="0" w:color="auto"/>
              <w:bottom w:val="single" w:sz="6" w:space="0" w:color="auto"/>
              <w:right w:val="single" w:sz="6" w:space="0" w:color="auto"/>
            </w:tcBorders>
          </w:tcPr>
          <w:p w14:paraId="23AB723C" w14:textId="5616498F" w:rsidR="001D1A66" w:rsidRDefault="001D1A66" w:rsidP="00117C79">
            <w:pPr>
              <w:pStyle w:val="Extmemo"/>
              <w:numPr>
                <w:ilvl w:val="0"/>
                <w:numId w:val="11"/>
              </w:numPr>
              <w:rPr>
                <w:rFonts w:ascii="Times New Roman" w:hAnsi="Times New Roman"/>
                <w:sz w:val="22"/>
              </w:rPr>
            </w:pPr>
            <w:r w:rsidRPr="00930EDC">
              <w:rPr>
                <w:rFonts w:ascii="Times New Roman" w:hAnsi="Times New Roman"/>
                <w:sz w:val="22"/>
              </w:rPr>
              <w:t>Completed Calendar Year End Reconcilia</w:t>
            </w:r>
            <w:r w:rsidR="00B86142">
              <w:rPr>
                <w:rFonts w:ascii="Times New Roman" w:hAnsi="Times New Roman"/>
                <w:sz w:val="22"/>
              </w:rPr>
              <w:t>tion and Certification workbook (Excel format)</w:t>
            </w:r>
          </w:p>
          <w:p w14:paraId="0F13D39A" w14:textId="77777777" w:rsidR="00930EDC" w:rsidRPr="00930EDC" w:rsidRDefault="00930EDC" w:rsidP="00930EDC">
            <w:pPr>
              <w:pStyle w:val="Extmemo"/>
              <w:ind w:left="360"/>
              <w:rPr>
                <w:rFonts w:ascii="Times New Roman" w:hAnsi="Times New Roman"/>
                <w:sz w:val="22"/>
              </w:rPr>
            </w:pPr>
          </w:p>
          <w:p w14:paraId="205E8BCD" w14:textId="74EC13ED" w:rsidR="001D1A66" w:rsidRDefault="001D1A66" w:rsidP="00DA50E6">
            <w:pPr>
              <w:pStyle w:val="Extmemo"/>
              <w:numPr>
                <w:ilvl w:val="0"/>
                <w:numId w:val="12"/>
              </w:numPr>
              <w:rPr>
                <w:rFonts w:ascii="Times New Roman" w:hAnsi="Times New Roman"/>
                <w:sz w:val="22"/>
              </w:rPr>
            </w:pPr>
            <w:r w:rsidRPr="00B86142">
              <w:rPr>
                <w:rFonts w:ascii="Times New Roman" w:hAnsi="Times New Roman"/>
                <w:sz w:val="22"/>
              </w:rPr>
              <w:t xml:space="preserve">Report 883 Final Total page </w:t>
            </w:r>
            <w:r w:rsidR="00B86142">
              <w:rPr>
                <w:rFonts w:ascii="Times New Roman" w:hAnsi="Times New Roman"/>
                <w:sz w:val="22"/>
              </w:rPr>
              <w:t>signed by the agency Fiscal Officer or designated proxy</w:t>
            </w:r>
          </w:p>
          <w:p w14:paraId="1FC55A12" w14:textId="77777777" w:rsidR="00B86142" w:rsidRPr="00B86142" w:rsidRDefault="00B86142" w:rsidP="00B86142">
            <w:pPr>
              <w:pStyle w:val="Extmemo"/>
              <w:ind w:left="360"/>
              <w:rPr>
                <w:rFonts w:ascii="Times New Roman" w:hAnsi="Times New Roman"/>
                <w:sz w:val="22"/>
              </w:rPr>
            </w:pPr>
          </w:p>
          <w:p w14:paraId="662608C5" w14:textId="2049089C" w:rsidR="001D1A66" w:rsidRDefault="00B86142" w:rsidP="001D1A66">
            <w:pPr>
              <w:pStyle w:val="Extmemo"/>
              <w:numPr>
                <w:ilvl w:val="0"/>
                <w:numId w:val="13"/>
              </w:numPr>
              <w:rPr>
                <w:rFonts w:ascii="Times New Roman" w:hAnsi="Times New Roman"/>
                <w:sz w:val="22"/>
              </w:rPr>
            </w:pPr>
            <w:r w:rsidRPr="00AC2F58">
              <w:rPr>
                <w:rFonts w:ascii="Times New Roman" w:hAnsi="Times New Roman"/>
                <w:sz w:val="22"/>
              </w:rPr>
              <w:t>BREAK TOTALS FOR EMP CO NO</w:t>
            </w:r>
            <w:r>
              <w:rPr>
                <w:rFonts w:ascii="Times New Roman" w:hAnsi="Times New Roman"/>
                <w:sz w:val="22"/>
              </w:rPr>
              <w:t xml:space="preserve"> ###</w:t>
            </w:r>
            <w:r w:rsidR="001D1A66">
              <w:rPr>
                <w:rFonts w:ascii="Times New Roman" w:hAnsi="Times New Roman"/>
                <w:sz w:val="22"/>
              </w:rPr>
              <w:t xml:space="preserve"> pages of Report 83 signed by agency Fiscal officer or designated proxy </w:t>
            </w:r>
            <w:r>
              <w:rPr>
                <w:rFonts w:ascii="Times New Roman" w:hAnsi="Times New Roman"/>
                <w:sz w:val="22"/>
              </w:rPr>
              <w:t>(typically the last three pages)</w:t>
            </w:r>
          </w:p>
          <w:p w14:paraId="5C2B4A7A" w14:textId="77777777" w:rsidR="001D1A66" w:rsidRDefault="001D1A66" w:rsidP="001D1A66">
            <w:pPr>
              <w:pStyle w:val="Extmemo"/>
              <w:ind w:left="360"/>
              <w:rPr>
                <w:rFonts w:ascii="Times New Roman" w:hAnsi="Times New Roman"/>
                <w:sz w:val="22"/>
              </w:rPr>
            </w:pPr>
          </w:p>
          <w:p w14:paraId="17124484" w14:textId="77777777" w:rsidR="00B86142" w:rsidRDefault="00B86142" w:rsidP="00B86142">
            <w:pPr>
              <w:pStyle w:val="Extmemo"/>
              <w:numPr>
                <w:ilvl w:val="0"/>
                <w:numId w:val="13"/>
              </w:numPr>
              <w:rPr>
                <w:rFonts w:ascii="Times New Roman" w:hAnsi="Times New Roman"/>
                <w:sz w:val="22"/>
              </w:rPr>
            </w:pPr>
            <w:r w:rsidRPr="0022125C">
              <w:rPr>
                <w:rFonts w:ascii="Times New Roman" w:hAnsi="Times New Roman"/>
                <w:sz w:val="22"/>
              </w:rPr>
              <w:t>Completed 4</w:t>
            </w:r>
            <w:r w:rsidRPr="0022125C">
              <w:rPr>
                <w:rFonts w:ascii="Times New Roman" w:hAnsi="Times New Roman"/>
                <w:sz w:val="22"/>
                <w:vertAlign w:val="superscript"/>
              </w:rPr>
              <w:t>th</w:t>
            </w:r>
            <w:r w:rsidRPr="0022125C">
              <w:rPr>
                <w:rFonts w:ascii="Times New Roman" w:hAnsi="Times New Roman"/>
                <w:sz w:val="22"/>
              </w:rPr>
              <w:t xml:space="preserve"> Quarter Tax Certification </w:t>
            </w:r>
            <w:r>
              <w:rPr>
                <w:rFonts w:ascii="Times New Roman" w:hAnsi="Times New Roman"/>
                <w:sz w:val="22"/>
              </w:rPr>
              <w:t xml:space="preserve">worksheet </w:t>
            </w:r>
            <w:r w:rsidRPr="0022125C">
              <w:rPr>
                <w:rFonts w:ascii="Times New Roman" w:hAnsi="Times New Roman"/>
                <w:sz w:val="22"/>
              </w:rPr>
              <w:t>contained in the Calendar Year End Reconciliation and Certification workbook signed by the agency Fiscal Officer or designated proxy</w:t>
            </w:r>
          </w:p>
          <w:p w14:paraId="32DB459C" w14:textId="77777777" w:rsidR="00B86142" w:rsidRPr="0022125C" w:rsidRDefault="00B86142" w:rsidP="00B86142">
            <w:pPr>
              <w:pStyle w:val="Extmemo"/>
              <w:rPr>
                <w:rFonts w:ascii="Times New Roman" w:hAnsi="Times New Roman"/>
                <w:sz w:val="22"/>
              </w:rPr>
            </w:pPr>
          </w:p>
          <w:p w14:paraId="210A3A5B" w14:textId="4224C428" w:rsidR="00B86142" w:rsidRPr="00556485" w:rsidRDefault="00B86142" w:rsidP="00B86142">
            <w:pPr>
              <w:pStyle w:val="Extmemo"/>
              <w:numPr>
                <w:ilvl w:val="0"/>
                <w:numId w:val="13"/>
              </w:numPr>
              <w:rPr>
                <w:rFonts w:ascii="Times New Roman" w:hAnsi="Times New Roman"/>
                <w:sz w:val="22"/>
              </w:rPr>
            </w:pPr>
            <w:r>
              <w:rPr>
                <w:rFonts w:ascii="Times New Roman" w:hAnsi="Times New Roman"/>
                <w:sz w:val="22"/>
              </w:rPr>
              <w:t xml:space="preserve">Completed </w:t>
            </w:r>
            <w:r w:rsidR="00DA50E6">
              <w:rPr>
                <w:rFonts w:ascii="Times New Roman" w:hAnsi="Times New Roman"/>
                <w:sz w:val="22"/>
              </w:rPr>
              <w:t>2021</w:t>
            </w:r>
            <w:r>
              <w:rPr>
                <w:rFonts w:ascii="Times New Roman" w:hAnsi="Times New Roman"/>
                <w:sz w:val="22"/>
              </w:rPr>
              <w:t xml:space="preserve"> Year-End Certification worksheet contained in the Calendar Year End Reconciliation and Certification workbook signed by the agency Fiscal Officer or designated proxy</w:t>
            </w:r>
          </w:p>
          <w:p w14:paraId="206D6FE1" w14:textId="77777777" w:rsidR="00B86142" w:rsidRPr="00611612" w:rsidRDefault="00B86142" w:rsidP="00B86142">
            <w:pPr>
              <w:pStyle w:val="Extmemo"/>
              <w:rPr>
                <w:rFonts w:ascii="Times New Roman" w:hAnsi="Times New Roman"/>
                <w:sz w:val="16"/>
                <w:szCs w:val="16"/>
              </w:rPr>
            </w:pPr>
          </w:p>
          <w:p w14:paraId="2169D4C5" w14:textId="77777777" w:rsidR="00B86142" w:rsidRDefault="00B86142" w:rsidP="00B86142">
            <w:pPr>
              <w:pStyle w:val="Extmemo"/>
              <w:numPr>
                <w:ilvl w:val="0"/>
                <w:numId w:val="14"/>
              </w:numPr>
              <w:rPr>
                <w:sz w:val="22"/>
              </w:rPr>
            </w:pPr>
            <w:r>
              <w:rPr>
                <w:sz w:val="22"/>
              </w:rPr>
              <w:t>Electronic signatures for agency Fiscal Officer or designated proxy will be accepted as long as the email with package attached is sent by same</w:t>
            </w:r>
          </w:p>
          <w:p w14:paraId="74144EB9" w14:textId="77777777" w:rsidR="00B86142" w:rsidRPr="001E5BFF" w:rsidRDefault="00B86142" w:rsidP="00B86142">
            <w:pPr>
              <w:pStyle w:val="Extmemo"/>
              <w:ind w:left="360"/>
              <w:rPr>
                <w:sz w:val="16"/>
                <w:szCs w:val="16"/>
              </w:rPr>
            </w:pPr>
          </w:p>
          <w:p w14:paraId="12F07758" w14:textId="4A1D0226" w:rsidR="001D1A66" w:rsidRPr="00930EDC" w:rsidRDefault="00B86142" w:rsidP="00B86142">
            <w:pPr>
              <w:pStyle w:val="Extmemo"/>
              <w:numPr>
                <w:ilvl w:val="0"/>
                <w:numId w:val="14"/>
              </w:numPr>
              <w:rPr>
                <w:sz w:val="22"/>
              </w:rPr>
            </w:pPr>
            <w:r>
              <w:rPr>
                <w:sz w:val="22"/>
              </w:rPr>
              <w:t>W-2s will be generated after all adjustments have been processed and balanced to the certified Reports 83 and 883 total pages.</w:t>
            </w:r>
          </w:p>
        </w:tc>
      </w:tr>
    </w:tbl>
    <w:p w14:paraId="136AABEE" w14:textId="77777777" w:rsidR="001D1A66" w:rsidRDefault="001D1A66" w:rsidP="001D1A66">
      <w:pPr>
        <w:rPr>
          <w:sz w:val="16"/>
          <w:szCs w:val="16"/>
        </w:rPr>
      </w:pPr>
    </w:p>
    <w:p w14:paraId="7E528480" w14:textId="77777777" w:rsidR="001D1A66" w:rsidRDefault="001D1A66" w:rsidP="001D1A66">
      <w:pPr>
        <w:pStyle w:val="ContinuedOnNextPa"/>
        <w:jc w:val="left"/>
        <w:outlineLvl w:val="0"/>
        <w:rPr>
          <w:i w:val="0"/>
        </w:rPr>
      </w:pPr>
    </w:p>
    <w:tbl>
      <w:tblPr>
        <w:tblW w:w="10188" w:type="dxa"/>
        <w:tblLayout w:type="fixed"/>
        <w:tblLook w:val="0000" w:firstRow="0" w:lastRow="0" w:firstColumn="0" w:lastColumn="0" w:noHBand="0" w:noVBand="0"/>
      </w:tblPr>
      <w:tblGrid>
        <w:gridCol w:w="1638"/>
        <w:gridCol w:w="8550"/>
      </w:tblGrid>
      <w:tr w:rsidR="0036138F" w:rsidRPr="00774899" w14:paraId="5F07C739" w14:textId="77777777" w:rsidTr="001D1A66">
        <w:trPr>
          <w:cantSplit/>
        </w:trPr>
        <w:tc>
          <w:tcPr>
            <w:tcW w:w="1638" w:type="dxa"/>
          </w:tcPr>
          <w:p w14:paraId="6DA34660" w14:textId="57DB42E5" w:rsidR="0036138F" w:rsidRPr="00774899" w:rsidRDefault="0036138F" w:rsidP="0036138F">
            <w:pPr>
              <w:pStyle w:val="Heading5"/>
              <w:rPr>
                <w:sz w:val="24"/>
              </w:rPr>
            </w:pPr>
            <w:r>
              <w:rPr>
                <w:sz w:val="24"/>
              </w:rPr>
              <w:t>Adjustments to SUI Amounts</w:t>
            </w:r>
          </w:p>
        </w:tc>
        <w:tc>
          <w:tcPr>
            <w:tcW w:w="8550" w:type="dxa"/>
          </w:tcPr>
          <w:p w14:paraId="4FDC0AB9" w14:textId="77777777" w:rsidR="0036138F" w:rsidRPr="001C6CBC" w:rsidRDefault="0036138F" w:rsidP="0036138F">
            <w:pPr>
              <w:pStyle w:val="Extmemo"/>
              <w:rPr>
                <w:rFonts w:ascii="Times New Roman" w:hAnsi="Times New Roman"/>
              </w:rPr>
            </w:pPr>
            <w:r w:rsidRPr="001C6CBC">
              <w:rPr>
                <w:rFonts w:ascii="Times New Roman" w:hAnsi="Times New Roman"/>
              </w:rPr>
              <w:t xml:space="preserve">If you have SUI adjustments, corrected amounts should be </w:t>
            </w:r>
            <w:r w:rsidRPr="001C6CBC">
              <w:rPr>
                <w:color w:val="000000"/>
                <w:szCs w:val="24"/>
              </w:rPr>
              <w:t xml:space="preserve">provided to VEC using the FC34 form found under VEC Quarterly Report Corrections on their employer forms page:  </w:t>
            </w:r>
            <w:hyperlink r:id="rId10" w:anchor="employer" w:history="1">
              <w:r w:rsidRPr="001C6CBC">
                <w:rPr>
                  <w:rStyle w:val="Hyperlink"/>
                  <w:szCs w:val="24"/>
                </w:rPr>
                <w:t>http://www.vec.virginia.gov/forms-publications#employer</w:t>
              </w:r>
            </w:hyperlink>
            <w:r w:rsidRPr="001C6CBC">
              <w:rPr>
                <w:color w:val="000000"/>
                <w:szCs w:val="24"/>
              </w:rPr>
              <w:t>.  Completed forms should be faxed to VEC at 804-786-8138.  Do not try to make adjustments using the online application.</w:t>
            </w:r>
            <w:r w:rsidRPr="001C6CBC">
              <w:rPr>
                <w:rFonts w:ascii="Times New Roman" w:hAnsi="Times New Roman"/>
              </w:rPr>
              <w:t xml:space="preserve">  No adjustments should be included on Reports 83 and 883.</w:t>
            </w:r>
          </w:p>
          <w:p w14:paraId="2BCFD414" w14:textId="302BBB2A" w:rsidR="0036138F" w:rsidRPr="00D03FE6" w:rsidRDefault="0036138F" w:rsidP="00117C79">
            <w:pPr>
              <w:rPr>
                <w:sz w:val="22"/>
                <w:szCs w:val="22"/>
                <w:highlight w:val="yellow"/>
              </w:rPr>
            </w:pPr>
          </w:p>
        </w:tc>
      </w:tr>
    </w:tbl>
    <w:p w14:paraId="4872CC3E" w14:textId="77777777" w:rsidR="0036138F" w:rsidRPr="00774899" w:rsidRDefault="0036138F" w:rsidP="0036138F">
      <w:pPr>
        <w:pStyle w:val="BlockLine"/>
        <w:spacing w:before="120"/>
        <w:ind w:left="1699"/>
        <w:rPr>
          <w:sz w:val="16"/>
          <w:szCs w:val="16"/>
        </w:rPr>
      </w:pPr>
      <w:r w:rsidRPr="00774899">
        <w:rPr>
          <w:sz w:val="16"/>
          <w:szCs w:val="16"/>
        </w:rPr>
        <w:t xml:space="preserve"> </w:t>
      </w:r>
    </w:p>
    <w:tbl>
      <w:tblPr>
        <w:tblW w:w="10188" w:type="dxa"/>
        <w:tblLayout w:type="fixed"/>
        <w:tblLook w:val="0000" w:firstRow="0" w:lastRow="0" w:firstColumn="0" w:lastColumn="0" w:noHBand="0" w:noVBand="0"/>
      </w:tblPr>
      <w:tblGrid>
        <w:gridCol w:w="1638"/>
        <w:gridCol w:w="8550"/>
      </w:tblGrid>
      <w:tr w:rsidR="00EA0362" w:rsidRPr="00774899" w14:paraId="56F0523B" w14:textId="77777777" w:rsidTr="0036138F">
        <w:trPr>
          <w:cantSplit/>
        </w:trPr>
        <w:tc>
          <w:tcPr>
            <w:tcW w:w="1638" w:type="dxa"/>
          </w:tcPr>
          <w:p w14:paraId="3986517A" w14:textId="77777777" w:rsidR="00EA0362" w:rsidRPr="00774899" w:rsidRDefault="00EA0362">
            <w:pPr>
              <w:pStyle w:val="Heading5"/>
              <w:rPr>
                <w:sz w:val="24"/>
              </w:rPr>
            </w:pPr>
            <w:r w:rsidRPr="00774899">
              <w:rPr>
                <w:sz w:val="24"/>
              </w:rPr>
              <w:t xml:space="preserve">Non-Resident </w:t>
            </w:r>
            <w:proofErr w:type="gramStart"/>
            <w:r w:rsidRPr="00774899">
              <w:rPr>
                <w:sz w:val="24"/>
              </w:rPr>
              <w:t>Aliens  -</w:t>
            </w:r>
            <w:proofErr w:type="gramEnd"/>
            <w:r w:rsidRPr="00774899">
              <w:rPr>
                <w:sz w:val="24"/>
              </w:rPr>
              <w:t xml:space="preserve">  Form 1042</w:t>
            </w:r>
            <w:r w:rsidR="009146D8" w:rsidRPr="00774899">
              <w:rPr>
                <w:sz w:val="24"/>
              </w:rPr>
              <w:t xml:space="preserve"> </w:t>
            </w:r>
            <w:r w:rsidRPr="00774899">
              <w:rPr>
                <w:sz w:val="24"/>
              </w:rPr>
              <w:t>Preparation</w:t>
            </w:r>
          </w:p>
        </w:tc>
        <w:tc>
          <w:tcPr>
            <w:tcW w:w="8550" w:type="dxa"/>
          </w:tcPr>
          <w:p w14:paraId="70F08A23" w14:textId="77777777" w:rsidR="00EA0362" w:rsidRPr="00184101" w:rsidRDefault="007E62C6" w:rsidP="00032A78">
            <w:pPr>
              <w:rPr>
                <w:sz w:val="22"/>
                <w:szCs w:val="22"/>
              </w:rPr>
            </w:pPr>
            <w:r w:rsidRPr="00184101">
              <w:rPr>
                <w:sz w:val="22"/>
                <w:szCs w:val="22"/>
              </w:rPr>
              <w:t xml:space="preserve">Nonresident Aliens (NRAs) should be issued </w:t>
            </w:r>
            <w:r w:rsidR="00C26A3E">
              <w:rPr>
                <w:sz w:val="22"/>
                <w:szCs w:val="22"/>
              </w:rPr>
              <w:t>W-2</w:t>
            </w:r>
            <w:r w:rsidRPr="00184101">
              <w:rPr>
                <w:sz w:val="22"/>
                <w:szCs w:val="22"/>
              </w:rPr>
              <w:t>s.  Due to the severe complex</w:t>
            </w:r>
            <w:r w:rsidR="00DE3616" w:rsidRPr="00184101">
              <w:rPr>
                <w:sz w:val="22"/>
                <w:szCs w:val="22"/>
              </w:rPr>
              <w:t>ity</w:t>
            </w:r>
            <w:r w:rsidRPr="00184101">
              <w:rPr>
                <w:sz w:val="22"/>
                <w:szCs w:val="22"/>
              </w:rPr>
              <w:t xml:space="preserve"> of tax treaty laws, DOA highly recommends that agencies not offer t</w:t>
            </w:r>
            <w:r w:rsidR="00DE3616" w:rsidRPr="00184101">
              <w:rPr>
                <w:sz w:val="22"/>
                <w:szCs w:val="22"/>
              </w:rPr>
              <w:t>ax treaty benefits to their non-</w:t>
            </w:r>
            <w:r w:rsidRPr="00184101">
              <w:rPr>
                <w:sz w:val="22"/>
                <w:szCs w:val="22"/>
              </w:rPr>
              <w:t>US citizens.  Only if your agency is offering tax treaty benefits would you need to make certain adjustments to those employees</w:t>
            </w:r>
            <w:r w:rsidR="003D4E28" w:rsidRPr="00184101">
              <w:rPr>
                <w:sz w:val="22"/>
                <w:szCs w:val="22"/>
              </w:rPr>
              <w:t>’</w:t>
            </w:r>
            <w:r w:rsidRPr="00184101">
              <w:rPr>
                <w:sz w:val="22"/>
                <w:szCs w:val="22"/>
              </w:rPr>
              <w:t xml:space="preserve"> records at year end.  If you are not offering treaty benefits, then those NRAs on your payroll should receive </w:t>
            </w:r>
            <w:r w:rsidR="00C26A3E">
              <w:rPr>
                <w:sz w:val="22"/>
                <w:szCs w:val="22"/>
              </w:rPr>
              <w:t>W-2</w:t>
            </w:r>
            <w:r w:rsidRPr="00184101">
              <w:rPr>
                <w:sz w:val="22"/>
                <w:szCs w:val="22"/>
              </w:rPr>
              <w:t xml:space="preserve">s just like all of your other employees.  No adjustments would be required at year end.  In very limited cases, certain NRAs are FICA exempt.  These should be identified and adjusted immediately prior to </w:t>
            </w:r>
            <w:r w:rsidR="00032A78">
              <w:rPr>
                <w:sz w:val="22"/>
                <w:szCs w:val="22"/>
              </w:rPr>
              <w:t>y</w:t>
            </w:r>
            <w:r w:rsidRPr="00184101">
              <w:rPr>
                <w:sz w:val="22"/>
                <w:szCs w:val="22"/>
              </w:rPr>
              <w:t>ear</w:t>
            </w:r>
            <w:r w:rsidR="00032A78">
              <w:rPr>
                <w:sz w:val="22"/>
                <w:szCs w:val="22"/>
              </w:rPr>
              <w:t>-</w:t>
            </w:r>
            <w:r w:rsidRPr="00184101">
              <w:rPr>
                <w:sz w:val="22"/>
                <w:szCs w:val="22"/>
              </w:rPr>
              <w:t>end</w:t>
            </w:r>
            <w:r w:rsidR="00D8238B" w:rsidRPr="00184101">
              <w:rPr>
                <w:sz w:val="22"/>
                <w:szCs w:val="22"/>
              </w:rPr>
              <w:t>.</w:t>
            </w:r>
            <w:r w:rsidRPr="00184101">
              <w:rPr>
                <w:sz w:val="22"/>
                <w:szCs w:val="22"/>
              </w:rPr>
              <w:t xml:space="preserve"> </w:t>
            </w:r>
          </w:p>
        </w:tc>
      </w:tr>
    </w:tbl>
    <w:p w14:paraId="5C8F8277" w14:textId="77777777" w:rsidR="00EA0362" w:rsidRPr="00774899" w:rsidRDefault="00EA0362" w:rsidP="004662E4">
      <w:pPr>
        <w:pStyle w:val="BlockLine"/>
        <w:spacing w:before="120"/>
        <w:ind w:left="1699"/>
        <w:rPr>
          <w:sz w:val="16"/>
          <w:szCs w:val="16"/>
        </w:rPr>
      </w:pPr>
      <w:r w:rsidRPr="00774899">
        <w:rPr>
          <w:sz w:val="16"/>
          <w:szCs w:val="16"/>
        </w:rPr>
        <w:t xml:space="preserve"> </w:t>
      </w:r>
    </w:p>
    <w:tbl>
      <w:tblPr>
        <w:tblW w:w="0" w:type="auto"/>
        <w:tblLayout w:type="fixed"/>
        <w:tblLook w:val="0000" w:firstRow="0" w:lastRow="0" w:firstColumn="0" w:lastColumn="0" w:noHBand="0" w:noVBand="0"/>
      </w:tblPr>
      <w:tblGrid>
        <w:gridCol w:w="1638"/>
        <w:gridCol w:w="8550"/>
      </w:tblGrid>
      <w:tr w:rsidR="00EA0362" w:rsidRPr="00774899" w14:paraId="5C99676E" w14:textId="77777777" w:rsidTr="004D7E0F">
        <w:trPr>
          <w:cantSplit/>
        </w:trPr>
        <w:tc>
          <w:tcPr>
            <w:tcW w:w="1638" w:type="dxa"/>
          </w:tcPr>
          <w:p w14:paraId="088CF1B1" w14:textId="77777777" w:rsidR="00EA0362" w:rsidRPr="00774899" w:rsidRDefault="007E62C6">
            <w:pPr>
              <w:pStyle w:val="Heading5"/>
              <w:rPr>
                <w:sz w:val="24"/>
              </w:rPr>
            </w:pPr>
            <w:r w:rsidRPr="00774899">
              <w:rPr>
                <w:sz w:val="24"/>
              </w:rPr>
              <w:t>Tax Treaty processing</w:t>
            </w:r>
          </w:p>
        </w:tc>
        <w:tc>
          <w:tcPr>
            <w:tcW w:w="8550" w:type="dxa"/>
          </w:tcPr>
          <w:p w14:paraId="2220BA57" w14:textId="77777777" w:rsidR="00EA0362" w:rsidRPr="00184101" w:rsidRDefault="007E62C6" w:rsidP="003D487A">
            <w:pPr>
              <w:rPr>
                <w:sz w:val="22"/>
                <w:szCs w:val="22"/>
              </w:rPr>
            </w:pPr>
            <w:r w:rsidRPr="00184101">
              <w:rPr>
                <w:sz w:val="22"/>
                <w:szCs w:val="22"/>
              </w:rPr>
              <w:t>Agencies must adhere to the following guidelines regarding tax treaties.   For each employee that received</w:t>
            </w:r>
            <w:r w:rsidR="00DE3616" w:rsidRPr="00184101">
              <w:rPr>
                <w:sz w:val="22"/>
                <w:szCs w:val="22"/>
              </w:rPr>
              <w:t xml:space="preserve"> the benefits of </w:t>
            </w:r>
            <w:r w:rsidRPr="00184101">
              <w:rPr>
                <w:sz w:val="22"/>
                <w:szCs w:val="22"/>
              </w:rPr>
              <w:t xml:space="preserve">a tax treaty, you </w:t>
            </w:r>
            <w:r w:rsidR="00194F8D" w:rsidRPr="00184101">
              <w:rPr>
                <w:sz w:val="22"/>
                <w:szCs w:val="22"/>
              </w:rPr>
              <w:t>will</w:t>
            </w:r>
            <w:r w:rsidRPr="00184101">
              <w:rPr>
                <w:sz w:val="22"/>
                <w:szCs w:val="22"/>
              </w:rPr>
              <w:t xml:space="preserve"> need to complete the Employee File Adjustment Form to reduce the</w:t>
            </w:r>
            <w:r w:rsidR="00194F8D" w:rsidRPr="00184101">
              <w:rPr>
                <w:sz w:val="22"/>
                <w:szCs w:val="22"/>
              </w:rPr>
              <w:t xml:space="preserve"> employee’s</w:t>
            </w:r>
            <w:r w:rsidRPr="00184101">
              <w:rPr>
                <w:sz w:val="22"/>
                <w:szCs w:val="22"/>
              </w:rPr>
              <w:t xml:space="preserve"> </w:t>
            </w:r>
            <w:r w:rsidR="00C26A3E">
              <w:rPr>
                <w:sz w:val="22"/>
                <w:szCs w:val="22"/>
              </w:rPr>
              <w:t>W-2</w:t>
            </w:r>
            <w:r w:rsidRPr="00184101">
              <w:rPr>
                <w:sz w:val="22"/>
                <w:szCs w:val="22"/>
              </w:rPr>
              <w:t xml:space="preserve"> by the tax treaty amount that will be reported manually on a 1042</w:t>
            </w:r>
            <w:r w:rsidR="00194F8D" w:rsidRPr="00184101">
              <w:rPr>
                <w:sz w:val="22"/>
                <w:szCs w:val="22"/>
              </w:rPr>
              <w:t>-</w:t>
            </w:r>
            <w:r w:rsidRPr="00184101">
              <w:rPr>
                <w:sz w:val="22"/>
                <w:szCs w:val="22"/>
              </w:rPr>
              <w:t>S form.  Each agency is responsible for completing their own 1042 and 1042</w:t>
            </w:r>
            <w:r w:rsidR="00194F8D" w:rsidRPr="00184101">
              <w:rPr>
                <w:sz w:val="22"/>
                <w:szCs w:val="22"/>
              </w:rPr>
              <w:t>-</w:t>
            </w:r>
            <w:r w:rsidR="00DE3616" w:rsidRPr="00184101">
              <w:rPr>
                <w:sz w:val="22"/>
                <w:szCs w:val="22"/>
              </w:rPr>
              <w:t>S</w:t>
            </w:r>
            <w:r w:rsidRPr="00184101">
              <w:rPr>
                <w:sz w:val="22"/>
                <w:szCs w:val="22"/>
              </w:rPr>
              <w:t xml:space="preserve"> forms and submi</w:t>
            </w:r>
            <w:r w:rsidR="00DE3616" w:rsidRPr="00184101">
              <w:rPr>
                <w:sz w:val="22"/>
                <w:szCs w:val="22"/>
              </w:rPr>
              <w:t xml:space="preserve">tting them in accordance with established deadlines </w:t>
            </w:r>
            <w:r w:rsidRPr="00184101">
              <w:rPr>
                <w:sz w:val="22"/>
                <w:szCs w:val="22"/>
              </w:rPr>
              <w:t xml:space="preserve">to the IRS.  </w:t>
            </w:r>
          </w:p>
        </w:tc>
      </w:tr>
    </w:tbl>
    <w:p w14:paraId="114EB261" w14:textId="77777777" w:rsidR="001A7BDE" w:rsidRPr="00774899" w:rsidRDefault="001A7BDE" w:rsidP="001A7BDE">
      <w:pPr>
        <w:pStyle w:val="BlockLine"/>
        <w:spacing w:before="120"/>
        <w:ind w:left="1699"/>
        <w:rPr>
          <w:sz w:val="16"/>
          <w:szCs w:val="16"/>
        </w:rPr>
      </w:pPr>
    </w:p>
    <w:tbl>
      <w:tblPr>
        <w:tblW w:w="10188" w:type="dxa"/>
        <w:tblLayout w:type="fixed"/>
        <w:tblLook w:val="0000" w:firstRow="0" w:lastRow="0" w:firstColumn="0" w:lastColumn="0" w:noHBand="0" w:noVBand="0"/>
      </w:tblPr>
      <w:tblGrid>
        <w:gridCol w:w="1638"/>
        <w:gridCol w:w="8550"/>
      </w:tblGrid>
      <w:tr w:rsidR="00EA0362" w:rsidRPr="00774899" w14:paraId="37A0BCC4" w14:textId="77777777" w:rsidTr="001A7BDE">
        <w:trPr>
          <w:cantSplit/>
        </w:trPr>
        <w:tc>
          <w:tcPr>
            <w:tcW w:w="1638" w:type="dxa"/>
          </w:tcPr>
          <w:p w14:paraId="22A593D4" w14:textId="48284489" w:rsidR="00EA0362" w:rsidRPr="00774899" w:rsidRDefault="002A0A1F">
            <w:pPr>
              <w:pStyle w:val="Heading5"/>
              <w:rPr>
                <w:sz w:val="24"/>
              </w:rPr>
            </w:pPr>
            <w:r>
              <w:rPr>
                <w:sz w:val="24"/>
              </w:rPr>
              <w:t>YE Reports</w:t>
            </w:r>
          </w:p>
        </w:tc>
        <w:tc>
          <w:tcPr>
            <w:tcW w:w="8550" w:type="dxa"/>
          </w:tcPr>
          <w:p w14:paraId="452500E9" w14:textId="0686B05B" w:rsidR="00EA0362" w:rsidRPr="00184101" w:rsidRDefault="00EA0362" w:rsidP="00E30C53">
            <w:pPr>
              <w:rPr>
                <w:sz w:val="22"/>
                <w:szCs w:val="22"/>
              </w:rPr>
            </w:pPr>
            <w:r w:rsidRPr="00184101">
              <w:rPr>
                <w:sz w:val="22"/>
                <w:szCs w:val="22"/>
              </w:rPr>
              <w:t xml:space="preserve">Quarter-end reports (56/880/881) and year-end reports (83/883) will be generated from December </w:t>
            </w:r>
            <w:r w:rsidR="006F579B">
              <w:rPr>
                <w:sz w:val="22"/>
                <w:szCs w:val="22"/>
              </w:rPr>
              <w:t>30</w:t>
            </w:r>
            <w:r w:rsidR="005D011C" w:rsidRPr="00184101">
              <w:rPr>
                <w:sz w:val="22"/>
                <w:szCs w:val="22"/>
              </w:rPr>
              <w:t xml:space="preserve"> </w:t>
            </w:r>
            <w:r w:rsidRPr="00184101">
              <w:rPr>
                <w:sz w:val="22"/>
                <w:szCs w:val="22"/>
              </w:rPr>
              <w:t xml:space="preserve">through </w:t>
            </w:r>
            <w:r w:rsidR="00E30C53">
              <w:rPr>
                <w:sz w:val="22"/>
                <w:szCs w:val="22"/>
              </w:rPr>
              <w:t>December 31.</w:t>
            </w:r>
          </w:p>
        </w:tc>
      </w:tr>
    </w:tbl>
    <w:p w14:paraId="2C76880A" w14:textId="77777777" w:rsidR="004662E4" w:rsidRPr="00774899" w:rsidRDefault="004662E4" w:rsidP="004662E4">
      <w:pPr>
        <w:pStyle w:val="BlockLine"/>
        <w:spacing w:before="120"/>
        <w:ind w:left="1699"/>
        <w:rPr>
          <w:sz w:val="16"/>
          <w:szCs w:val="16"/>
        </w:rPr>
      </w:pPr>
    </w:p>
    <w:p w14:paraId="0933CB12" w14:textId="77777777" w:rsidR="002A0A1F" w:rsidRDefault="002A0A1F">
      <w:pPr>
        <w:rPr>
          <w:b/>
          <w:sz w:val="28"/>
          <w:szCs w:val="28"/>
        </w:rPr>
      </w:pPr>
      <w:bookmarkStart w:id="6" w:name="_Toc401048303"/>
      <w:bookmarkStart w:id="7" w:name="_Toc401642800"/>
      <w:r>
        <w:rPr>
          <w:sz w:val="28"/>
          <w:szCs w:val="28"/>
        </w:rPr>
        <w:br w:type="page"/>
      </w:r>
    </w:p>
    <w:p w14:paraId="012CB77B" w14:textId="4BDA1A67" w:rsidR="004D7E0F" w:rsidRPr="00971AA4" w:rsidRDefault="004D7E0F" w:rsidP="00F8503A">
      <w:pPr>
        <w:pStyle w:val="Heading4"/>
        <w:spacing w:after="120"/>
        <w:rPr>
          <w:rFonts w:ascii="Times New Roman" w:hAnsi="Times New Roman"/>
          <w:sz w:val="28"/>
          <w:szCs w:val="28"/>
        </w:rPr>
      </w:pPr>
      <w:r w:rsidRPr="00971AA4">
        <w:rPr>
          <w:rFonts w:ascii="Times New Roman" w:hAnsi="Times New Roman"/>
          <w:sz w:val="28"/>
          <w:szCs w:val="28"/>
        </w:rPr>
        <w:t>W-2 Forms</w:t>
      </w:r>
    </w:p>
    <w:p w14:paraId="2B878B41" w14:textId="77777777" w:rsidR="004D7E0F" w:rsidRPr="00971AA4" w:rsidRDefault="004D7E0F" w:rsidP="004D7E0F">
      <w:pPr>
        <w:pStyle w:val="BlockLine"/>
        <w:spacing w:before="0"/>
        <w:rPr>
          <w:sz w:val="16"/>
          <w:szCs w:val="16"/>
        </w:rPr>
      </w:pPr>
      <w:r w:rsidRPr="00971AA4">
        <w:rPr>
          <w:sz w:val="28"/>
          <w:szCs w:val="28"/>
        </w:rPr>
        <w:t xml:space="preserve"> </w:t>
      </w:r>
    </w:p>
    <w:tbl>
      <w:tblPr>
        <w:tblW w:w="0" w:type="auto"/>
        <w:tblLayout w:type="fixed"/>
        <w:tblLook w:val="0000" w:firstRow="0" w:lastRow="0" w:firstColumn="0" w:lastColumn="0" w:noHBand="0" w:noVBand="0"/>
      </w:tblPr>
      <w:tblGrid>
        <w:gridCol w:w="1638"/>
        <w:gridCol w:w="8640"/>
      </w:tblGrid>
      <w:tr w:rsidR="004D7E0F" w14:paraId="1EC5DF27" w14:textId="77777777" w:rsidTr="00B817D2">
        <w:trPr>
          <w:cantSplit/>
        </w:trPr>
        <w:tc>
          <w:tcPr>
            <w:tcW w:w="1638" w:type="dxa"/>
          </w:tcPr>
          <w:p w14:paraId="09F5FE7B" w14:textId="77777777" w:rsidR="004D7E0F" w:rsidRPr="007F293C" w:rsidRDefault="004D7E0F" w:rsidP="00B817D2">
            <w:pPr>
              <w:pStyle w:val="Heading5"/>
              <w:rPr>
                <w:sz w:val="24"/>
                <w:szCs w:val="24"/>
              </w:rPr>
            </w:pPr>
            <w:r w:rsidRPr="007F293C">
              <w:rPr>
                <w:sz w:val="24"/>
                <w:szCs w:val="24"/>
              </w:rPr>
              <w:t>Overview</w:t>
            </w:r>
          </w:p>
        </w:tc>
        <w:tc>
          <w:tcPr>
            <w:tcW w:w="8640" w:type="dxa"/>
          </w:tcPr>
          <w:p w14:paraId="3D3066B3" w14:textId="77777777" w:rsidR="004D7E0F" w:rsidRPr="006D3D43" w:rsidRDefault="004D7E0F" w:rsidP="00B817D2">
            <w:pPr>
              <w:pStyle w:val="Extmemo"/>
              <w:rPr>
                <w:rFonts w:ascii="Times New Roman" w:hAnsi="Times New Roman"/>
                <w:sz w:val="22"/>
                <w:szCs w:val="22"/>
              </w:rPr>
            </w:pPr>
            <w:r w:rsidRPr="006D3D43">
              <w:rPr>
                <w:rFonts w:ascii="Times New Roman" w:hAnsi="Times New Roman"/>
                <w:sz w:val="22"/>
                <w:szCs w:val="22"/>
              </w:rPr>
              <w:t xml:space="preserve">This year, DOA will </w:t>
            </w:r>
            <w:r w:rsidR="00A67B4B">
              <w:rPr>
                <w:rFonts w:ascii="Times New Roman" w:hAnsi="Times New Roman"/>
                <w:sz w:val="22"/>
                <w:szCs w:val="22"/>
              </w:rPr>
              <w:t xml:space="preserve">again </w:t>
            </w:r>
            <w:r>
              <w:rPr>
                <w:rFonts w:ascii="Times New Roman" w:hAnsi="Times New Roman"/>
                <w:sz w:val="22"/>
                <w:szCs w:val="22"/>
              </w:rPr>
              <w:t>use self-sealed employee</w:t>
            </w:r>
            <w:r w:rsidR="00A67B4B">
              <w:rPr>
                <w:rFonts w:ascii="Times New Roman" w:hAnsi="Times New Roman"/>
                <w:sz w:val="22"/>
                <w:szCs w:val="22"/>
              </w:rPr>
              <w:t>-</w:t>
            </w:r>
            <w:r>
              <w:rPr>
                <w:rFonts w:ascii="Times New Roman" w:hAnsi="Times New Roman"/>
                <w:sz w:val="22"/>
                <w:szCs w:val="22"/>
              </w:rPr>
              <w:t>copy Forms W-2.  Just like the previous forms t</w:t>
            </w:r>
            <w:r w:rsidRPr="006D3D43">
              <w:rPr>
                <w:rFonts w:ascii="Times New Roman" w:hAnsi="Times New Roman"/>
                <w:sz w:val="22"/>
                <w:szCs w:val="22"/>
              </w:rPr>
              <w:t xml:space="preserve">here will be one sheet of paper </w:t>
            </w:r>
            <w:r>
              <w:rPr>
                <w:rFonts w:ascii="Times New Roman" w:hAnsi="Times New Roman"/>
                <w:sz w:val="22"/>
                <w:szCs w:val="22"/>
              </w:rPr>
              <w:t xml:space="preserve">with 4 copies of the W-2 </w:t>
            </w:r>
            <w:r w:rsidR="003429CF">
              <w:rPr>
                <w:rFonts w:ascii="Times New Roman" w:hAnsi="Times New Roman"/>
                <w:sz w:val="22"/>
                <w:szCs w:val="22"/>
              </w:rPr>
              <w:t xml:space="preserve">with </w:t>
            </w:r>
            <w:r>
              <w:rPr>
                <w:rFonts w:ascii="Times New Roman" w:hAnsi="Times New Roman"/>
                <w:sz w:val="22"/>
                <w:szCs w:val="22"/>
              </w:rPr>
              <w:t>the Z-fold and self-seal in the same manner as printed checks and earnings notices.</w:t>
            </w:r>
          </w:p>
          <w:p w14:paraId="04E0B118" w14:textId="77777777" w:rsidR="004D7E0F" w:rsidRPr="006D3D43" w:rsidRDefault="004D7E0F" w:rsidP="00B817D2">
            <w:pPr>
              <w:pStyle w:val="Extmemo"/>
              <w:rPr>
                <w:rFonts w:ascii="Times New Roman" w:hAnsi="Times New Roman"/>
                <w:sz w:val="22"/>
                <w:szCs w:val="22"/>
              </w:rPr>
            </w:pPr>
          </w:p>
          <w:p w14:paraId="3AF6893C" w14:textId="77777777" w:rsidR="004D7E0F" w:rsidRPr="006D3D43" w:rsidRDefault="004D7E0F" w:rsidP="00B817D2">
            <w:pPr>
              <w:pStyle w:val="Extmemo"/>
              <w:rPr>
                <w:rFonts w:ascii="Times New Roman" w:hAnsi="Times New Roman"/>
                <w:sz w:val="22"/>
                <w:szCs w:val="22"/>
              </w:rPr>
            </w:pPr>
            <w:r w:rsidRPr="006D3D43">
              <w:rPr>
                <w:rFonts w:ascii="Times New Roman" w:hAnsi="Times New Roman"/>
                <w:sz w:val="22"/>
                <w:szCs w:val="22"/>
              </w:rPr>
              <w:t>An employee may receive more than one W-2 if taxes were withheld for more than one state or locality.  An additional W-2 may also be generated if an employee has more than 4 entries in BOX 12 or if the employee ha</w:t>
            </w:r>
            <w:r>
              <w:rPr>
                <w:rFonts w:ascii="Times New Roman" w:hAnsi="Times New Roman"/>
                <w:sz w:val="22"/>
                <w:szCs w:val="22"/>
              </w:rPr>
              <w:t>s</w:t>
            </w:r>
            <w:r w:rsidRPr="006D3D43">
              <w:rPr>
                <w:rFonts w:ascii="Times New Roman" w:hAnsi="Times New Roman"/>
                <w:sz w:val="22"/>
                <w:szCs w:val="22"/>
              </w:rPr>
              <w:t xml:space="preserve"> more than one Employee ID Number in CIPPS.</w:t>
            </w:r>
          </w:p>
          <w:p w14:paraId="1EFBA062" w14:textId="77777777" w:rsidR="004D7E0F" w:rsidRPr="006D3D43" w:rsidRDefault="004D7E0F" w:rsidP="00B817D2">
            <w:pPr>
              <w:pStyle w:val="Extmemo"/>
              <w:rPr>
                <w:rFonts w:ascii="Times New Roman" w:hAnsi="Times New Roman"/>
                <w:sz w:val="22"/>
                <w:szCs w:val="22"/>
              </w:rPr>
            </w:pPr>
          </w:p>
          <w:p w14:paraId="3644A46C" w14:textId="77777777" w:rsidR="004D7E0F" w:rsidRPr="006D3D43" w:rsidRDefault="004D7E0F" w:rsidP="00B817D2">
            <w:pPr>
              <w:pStyle w:val="Extmemo"/>
              <w:rPr>
                <w:rFonts w:ascii="Times New Roman" w:hAnsi="Times New Roman"/>
                <w:sz w:val="22"/>
                <w:szCs w:val="22"/>
              </w:rPr>
            </w:pPr>
            <w:r w:rsidRPr="006D3D43">
              <w:rPr>
                <w:rFonts w:ascii="Times New Roman" w:hAnsi="Times New Roman"/>
                <w:sz w:val="22"/>
                <w:szCs w:val="22"/>
              </w:rPr>
              <w:t xml:space="preserve">Your employer copy of the W-2 will reside in </w:t>
            </w:r>
            <w:proofErr w:type="spellStart"/>
            <w:r w:rsidRPr="006D3D43">
              <w:rPr>
                <w:rFonts w:ascii="Times New Roman" w:hAnsi="Times New Roman"/>
                <w:sz w:val="22"/>
                <w:szCs w:val="22"/>
              </w:rPr>
              <w:t>Payline</w:t>
            </w:r>
            <w:proofErr w:type="spellEnd"/>
            <w:r>
              <w:rPr>
                <w:rFonts w:ascii="Times New Roman" w:hAnsi="Times New Roman"/>
                <w:sz w:val="22"/>
                <w:szCs w:val="22"/>
              </w:rPr>
              <w:t>.  A</w:t>
            </w:r>
            <w:r w:rsidRPr="006D3D43">
              <w:rPr>
                <w:rFonts w:ascii="Times New Roman" w:hAnsi="Times New Roman"/>
                <w:sz w:val="22"/>
                <w:szCs w:val="22"/>
              </w:rPr>
              <w:t xml:space="preserve">gency personnel must have masking to access the W-2 information.  Please refer to the following link for information on </w:t>
            </w:r>
            <w:proofErr w:type="spellStart"/>
            <w:r w:rsidRPr="006D3D43">
              <w:rPr>
                <w:rFonts w:ascii="Times New Roman" w:hAnsi="Times New Roman"/>
                <w:sz w:val="22"/>
                <w:szCs w:val="22"/>
              </w:rPr>
              <w:t>Payline</w:t>
            </w:r>
            <w:proofErr w:type="spellEnd"/>
            <w:r w:rsidRPr="006D3D43">
              <w:rPr>
                <w:rFonts w:ascii="Times New Roman" w:hAnsi="Times New Roman"/>
                <w:sz w:val="22"/>
                <w:szCs w:val="22"/>
              </w:rPr>
              <w:t xml:space="preserve"> and Masking:</w:t>
            </w:r>
          </w:p>
          <w:p w14:paraId="02648E64" w14:textId="77777777" w:rsidR="004D7E0F" w:rsidRPr="006D3D43" w:rsidRDefault="004D7E0F" w:rsidP="00B817D2">
            <w:pPr>
              <w:pStyle w:val="Extmemo"/>
              <w:rPr>
                <w:rFonts w:ascii="Times New Roman" w:hAnsi="Times New Roman"/>
                <w:sz w:val="22"/>
                <w:szCs w:val="22"/>
              </w:rPr>
            </w:pPr>
          </w:p>
          <w:p w14:paraId="66B74CEC" w14:textId="77777777" w:rsidR="004D7E0F" w:rsidRDefault="005504FA" w:rsidP="00B817D2">
            <w:pPr>
              <w:pStyle w:val="Extmemo"/>
              <w:rPr>
                <w:rFonts w:ascii="Times New Roman" w:hAnsi="Times New Roman"/>
                <w:sz w:val="22"/>
                <w:szCs w:val="22"/>
              </w:rPr>
            </w:pPr>
            <w:hyperlink r:id="rId11" w:anchor="payline" w:history="1">
              <w:r w:rsidR="002A45C8" w:rsidRPr="00431612">
                <w:rPr>
                  <w:rStyle w:val="Hyperlink"/>
                  <w:rFonts w:ascii="Times New Roman" w:hAnsi="Times New Roman"/>
                  <w:sz w:val="22"/>
                  <w:szCs w:val="22"/>
                </w:rPr>
                <w:t>https://www.doa.virginia.gov/onlineservices.shtml#payline</w:t>
              </w:r>
            </w:hyperlink>
          </w:p>
          <w:p w14:paraId="210ED53A" w14:textId="77777777" w:rsidR="004D7E0F" w:rsidRPr="006D3D43" w:rsidRDefault="004D7E0F" w:rsidP="00B817D2">
            <w:pPr>
              <w:pStyle w:val="Extmemo"/>
              <w:rPr>
                <w:rFonts w:ascii="Times New Roman" w:hAnsi="Times New Roman"/>
                <w:sz w:val="22"/>
                <w:szCs w:val="22"/>
              </w:rPr>
            </w:pPr>
          </w:p>
          <w:p w14:paraId="5116D43B" w14:textId="77777777" w:rsidR="00951432" w:rsidRPr="006D3D43" w:rsidRDefault="00951432" w:rsidP="00951432">
            <w:pPr>
              <w:pStyle w:val="Extmemo"/>
              <w:rPr>
                <w:rFonts w:ascii="Times New Roman" w:hAnsi="Times New Roman"/>
                <w:sz w:val="22"/>
                <w:szCs w:val="22"/>
              </w:rPr>
            </w:pPr>
            <w:r w:rsidRPr="006D3D43">
              <w:rPr>
                <w:rFonts w:ascii="Times New Roman" w:hAnsi="Times New Roman"/>
                <w:sz w:val="22"/>
                <w:szCs w:val="22"/>
              </w:rPr>
              <w:t xml:space="preserve">Agencies withholding </w:t>
            </w:r>
            <w:r>
              <w:rPr>
                <w:rFonts w:ascii="Times New Roman" w:hAnsi="Times New Roman"/>
                <w:sz w:val="22"/>
                <w:szCs w:val="22"/>
              </w:rPr>
              <w:t xml:space="preserve">payroll taxes for </w:t>
            </w:r>
            <w:r w:rsidRPr="006D3D43">
              <w:rPr>
                <w:rFonts w:ascii="Times New Roman" w:hAnsi="Times New Roman"/>
                <w:sz w:val="22"/>
                <w:szCs w:val="22"/>
              </w:rPr>
              <w:t>other state</w:t>
            </w:r>
            <w:r>
              <w:rPr>
                <w:rFonts w:ascii="Times New Roman" w:hAnsi="Times New Roman"/>
                <w:sz w:val="22"/>
                <w:szCs w:val="22"/>
              </w:rPr>
              <w:t xml:space="preserve">s </w:t>
            </w:r>
            <w:r w:rsidRPr="006D3D43">
              <w:rPr>
                <w:rFonts w:ascii="Times New Roman" w:hAnsi="Times New Roman"/>
                <w:sz w:val="22"/>
                <w:szCs w:val="22"/>
              </w:rPr>
              <w:t xml:space="preserve">are responsible for filing their own state reconciliations and information returns. </w:t>
            </w:r>
            <w:r>
              <w:rPr>
                <w:rFonts w:ascii="Times New Roman" w:hAnsi="Times New Roman"/>
                <w:sz w:val="22"/>
                <w:szCs w:val="22"/>
              </w:rPr>
              <w:t>As in previous years Employer c</w:t>
            </w:r>
            <w:r w:rsidRPr="006D3D43">
              <w:rPr>
                <w:rFonts w:ascii="Times New Roman" w:hAnsi="Times New Roman"/>
                <w:sz w:val="22"/>
                <w:szCs w:val="22"/>
              </w:rPr>
              <w:t xml:space="preserve">opies </w:t>
            </w:r>
            <w:r>
              <w:rPr>
                <w:rFonts w:ascii="Times New Roman" w:hAnsi="Times New Roman"/>
                <w:sz w:val="22"/>
                <w:szCs w:val="22"/>
              </w:rPr>
              <w:t>of the</w:t>
            </w:r>
            <w:r w:rsidRPr="006D3D43">
              <w:rPr>
                <w:rFonts w:ascii="Times New Roman" w:hAnsi="Times New Roman"/>
                <w:sz w:val="22"/>
                <w:szCs w:val="22"/>
              </w:rPr>
              <w:t xml:space="preserve"> W-2s will be provided for this purpose.  Please be aware of the specific filing deadlines in each individual state.</w:t>
            </w:r>
          </w:p>
          <w:p w14:paraId="73D8C42E" w14:textId="77777777" w:rsidR="004D7E0F" w:rsidRPr="006D3D43" w:rsidRDefault="004D7E0F" w:rsidP="00B817D2">
            <w:pPr>
              <w:pStyle w:val="Extmemo"/>
              <w:rPr>
                <w:rFonts w:ascii="Times New Roman" w:hAnsi="Times New Roman"/>
                <w:sz w:val="22"/>
                <w:szCs w:val="22"/>
              </w:rPr>
            </w:pPr>
          </w:p>
          <w:p w14:paraId="5DEB165D" w14:textId="77777777" w:rsidR="004D7E0F" w:rsidRPr="005B47C6" w:rsidRDefault="004D7E0F" w:rsidP="00B817D2">
            <w:pPr>
              <w:pStyle w:val="Extmemo"/>
              <w:rPr>
                <w:rFonts w:ascii="Times New Roman" w:hAnsi="Times New Roman"/>
                <w:sz w:val="22"/>
                <w:szCs w:val="22"/>
              </w:rPr>
            </w:pPr>
            <w:r w:rsidRPr="006D3D43">
              <w:rPr>
                <w:rFonts w:ascii="Times New Roman" w:hAnsi="Times New Roman"/>
                <w:b/>
                <w:sz w:val="22"/>
                <w:szCs w:val="22"/>
              </w:rPr>
              <w:t>DO NOT SEND PAPER COPIES OF W-2s</w:t>
            </w:r>
            <w:r w:rsidRPr="006D3D43">
              <w:rPr>
                <w:rFonts w:ascii="Times New Roman" w:hAnsi="Times New Roman"/>
                <w:sz w:val="22"/>
                <w:szCs w:val="22"/>
              </w:rPr>
              <w:t xml:space="preserve"> to the Internal Revenue Service (IRS)/Social Security Administration (SSA).  DOA submit</w:t>
            </w:r>
            <w:r>
              <w:rPr>
                <w:rFonts w:ascii="Times New Roman" w:hAnsi="Times New Roman"/>
                <w:sz w:val="22"/>
                <w:szCs w:val="22"/>
              </w:rPr>
              <w:t>s</w:t>
            </w:r>
            <w:r w:rsidRPr="006D3D43">
              <w:rPr>
                <w:rFonts w:ascii="Times New Roman" w:hAnsi="Times New Roman"/>
                <w:sz w:val="22"/>
                <w:szCs w:val="22"/>
              </w:rPr>
              <w:t xml:space="preserve"> W-2 data to the IRS/SSA, as well as to the Virginia Department of Taxation</w:t>
            </w:r>
            <w:r>
              <w:rPr>
                <w:rFonts w:ascii="Times New Roman" w:hAnsi="Times New Roman"/>
                <w:sz w:val="22"/>
                <w:szCs w:val="22"/>
              </w:rPr>
              <w:t>, on behalf of all CIPPS agencies</w:t>
            </w:r>
            <w:r w:rsidRPr="006D3D43">
              <w:rPr>
                <w:rFonts w:ascii="Times New Roman" w:hAnsi="Times New Roman"/>
                <w:sz w:val="22"/>
                <w:szCs w:val="22"/>
              </w:rPr>
              <w:t>.</w:t>
            </w:r>
          </w:p>
        </w:tc>
      </w:tr>
      <w:bookmarkEnd w:id="6"/>
      <w:bookmarkEnd w:id="7"/>
    </w:tbl>
    <w:p w14:paraId="08798166" w14:textId="449499EB" w:rsidR="003B24E3" w:rsidRPr="002024B2" w:rsidRDefault="003B24E3" w:rsidP="003B24E3">
      <w:pPr>
        <w:pStyle w:val="MapTitleContinued"/>
        <w:spacing w:after="120"/>
        <w:outlineLvl w:val="0"/>
        <w:rPr>
          <w:rFonts w:ascii="Times New Roman" w:hAnsi="Times New Roman"/>
          <w:b w:val="0"/>
          <w:sz w:val="24"/>
        </w:rPr>
      </w:pPr>
    </w:p>
    <w:p w14:paraId="3865D230" w14:textId="77777777" w:rsidR="003B24E3" w:rsidRPr="003B24E3" w:rsidRDefault="003B24E3" w:rsidP="003B24E3">
      <w:pPr>
        <w:pStyle w:val="BlockLine"/>
        <w:spacing w:before="0"/>
        <w:ind w:left="1699"/>
        <w:rPr>
          <w:sz w:val="16"/>
          <w:szCs w:val="16"/>
        </w:rPr>
      </w:pPr>
    </w:p>
    <w:tbl>
      <w:tblPr>
        <w:tblW w:w="0" w:type="auto"/>
        <w:tblLayout w:type="fixed"/>
        <w:tblLook w:val="0000" w:firstRow="0" w:lastRow="0" w:firstColumn="0" w:lastColumn="0" w:noHBand="0" w:noVBand="0"/>
      </w:tblPr>
      <w:tblGrid>
        <w:gridCol w:w="1728"/>
        <w:gridCol w:w="8460"/>
      </w:tblGrid>
      <w:tr w:rsidR="00EA0362" w14:paraId="3B7E3AEA" w14:textId="77777777">
        <w:trPr>
          <w:cantSplit/>
        </w:trPr>
        <w:tc>
          <w:tcPr>
            <w:tcW w:w="1728" w:type="dxa"/>
          </w:tcPr>
          <w:p w14:paraId="353D54C1" w14:textId="77777777" w:rsidR="00EA0362" w:rsidRPr="007F293C" w:rsidRDefault="00EA0362">
            <w:pPr>
              <w:pStyle w:val="Heading5"/>
              <w:rPr>
                <w:sz w:val="24"/>
                <w:szCs w:val="24"/>
              </w:rPr>
            </w:pPr>
            <w:r w:rsidRPr="007F293C">
              <w:rPr>
                <w:sz w:val="24"/>
                <w:szCs w:val="24"/>
              </w:rPr>
              <w:t>Distribution</w:t>
            </w:r>
          </w:p>
        </w:tc>
        <w:tc>
          <w:tcPr>
            <w:tcW w:w="8460" w:type="dxa"/>
          </w:tcPr>
          <w:p w14:paraId="0CE93760" w14:textId="6CE3A8FD" w:rsidR="00EA0362" w:rsidRDefault="00EA0362">
            <w:pPr>
              <w:pStyle w:val="Extmemo"/>
              <w:rPr>
                <w:rFonts w:ascii="Times New Roman" w:hAnsi="Times New Roman"/>
                <w:sz w:val="22"/>
                <w:szCs w:val="22"/>
              </w:rPr>
            </w:pPr>
            <w:r w:rsidRPr="007F293C">
              <w:rPr>
                <w:rFonts w:ascii="Times New Roman" w:hAnsi="Times New Roman"/>
                <w:sz w:val="22"/>
                <w:szCs w:val="22"/>
              </w:rPr>
              <w:t xml:space="preserve">Complete the W-2 DISTRIBUTION FORM and </w:t>
            </w:r>
            <w:r w:rsidR="008423F5">
              <w:rPr>
                <w:rFonts w:ascii="Times New Roman" w:hAnsi="Times New Roman"/>
                <w:sz w:val="22"/>
                <w:szCs w:val="22"/>
              </w:rPr>
              <w:t>email</w:t>
            </w:r>
            <w:r w:rsidRPr="007F293C">
              <w:rPr>
                <w:rFonts w:ascii="Times New Roman" w:hAnsi="Times New Roman"/>
                <w:sz w:val="22"/>
                <w:szCs w:val="22"/>
              </w:rPr>
              <w:t xml:space="preserve"> to </w:t>
            </w:r>
            <w:r w:rsidR="008C4934">
              <w:rPr>
                <w:rFonts w:ascii="Times New Roman" w:hAnsi="Times New Roman"/>
                <w:sz w:val="22"/>
                <w:szCs w:val="22"/>
              </w:rPr>
              <w:t>State Payroll Operations</w:t>
            </w:r>
            <w:r w:rsidRPr="007F293C">
              <w:rPr>
                <w:rFonts w:ascii="Times New Roman" w:hAnsi="Times New Roman"/>
                <w:sz w:val="22"/>
                <w:szCs w:val="22"/>
              </w:rPr>
              <w:t xml:space="preserve"> by </w:t>
            </w:r>
            <w:r w:rsidR="00C723B8">
              <w:rPr>
                <w:rFonts w:ascii="Times New Roman" w:hAnsi="Times New Roman"/>
                <w:sz w:val="22"/>
                <w:szCs w:val="22"/>
              </w:rPr>
              <w:t>Friday, December 17</w:t>
            </w:r>
            <w:r w:rsidRPr="007F293C">
              <w:rPr>
                <w:rFonts w:ascii="Times New Roman" w:hAnsi="Times New Roman"/>
                <w:sz w:val="22"/>
                <w:szCs w:val="22"/>
              </w:rPr>
              <w:t xml:space="preserve"> </w:t>
            </w:r>
            <w:r w:rsidR="008423F5">
              <w:rPr>
                <w:rFonts w:ascii="Times New Roman" w:hAnsi="Times New Roman"/>
                <w:sz w:val="22"/>
                <w:szCs w:val="22"/>
              </w:rPr>
              <w:t>at</w:t>
            </w:r>
            <w:r w:rsidR="00305A33">
              <w:rPr>
                <w:rFonts w:ascii="Times New Roman" w:hAnsi="Times New Roman"/>
                <w:sz w:val="22"/>
                <w:szCs w:val="22"/>
              </w:rPr>
              <w:t xml:space="preserve"> </w:t>
            </w:r>
            <w:hyperlink r:id="rId12" w:history="1">
              <w:r w:rsidR="00305A33" w:rsidRPr="00431612">
                <w:rPr>
                  <w:rStyle w:val="Hyperlink"/>
                  <w:rFonts w:ascii="Times New Roman" w:hAnsi="Times New Roman"/>
                  <w:sz w:val="22"/>
                  <w:szCs w:val="22"/>
                </w:rPr>
                <w:t>payroll@doa.virginia.gov</w:t>
              </w:r>
            </w:hyperlink>
            <w:r w:rsidR="001B2FA9">
              <w:rPr>
                <w:rFonts w:ascii="Times New Roman" w:hAnsi="Times New Roman"/>
                <w:sz w:val="22"/>
                <w:szCs w:val="22"/>
              </w:rPr>
              <w:t>.</w:t>
            </w:r>
          </w:p>
          <w:p w14:paraId="69FE0762" w14:textId="77777777" w:rsidR="00EA0362" w:rsidRPr="007F293C" w:rsidRDefault="00EA0362">
            <w:pPr>
              <w:pStyle w:val="Extmemo"/>
              <w:rPr>
                <w:rFonts w:ascii="Times New Roman" w:hAnsi="Times New Roman"/>
                <w:sz w:val="22"/>
                <w:szCs w:val="22"/>
              </w:rPr>
            </w:pPr>
          </w:p>
          <w:p w14:paraId="516E2C91" w14:textId="77777777" w:rsidR="00EA0362" w:rsidRPr="007F293C" w:rsidRDefault="00213583">
            <w:pPr>
              <w:pStyle w:val="Extmemo"/>
              <w:rPr>
                <w:rFonts w:ascii="Times New Roman" w:hAnsi="Times New Roman"/>
                <w:sz w:val="22"/>
                <w:szCs w:val="22"/>
              </w:rPr>
            </w:pPr>
            <w:r w:rsidRPr="007F293C">
              <w:rPr>
                <w:rFonts w:ascii="Times New Roman" w:hAnsi="Times New Roman"/>
                <w:sz w:val="22"/>
                <w:szCs w:val="22"/>
              </w:rPr>
              <w:t>This form is divided</w:t>
            </w:r>
            <w:r w:rsidR="00EA0362" w:rsidRPr="007F293C">
              <w:rPr>
                <w:rFonts w:ascii="Times New Roman" w:hAnsi="Times New Roman"/>
                <w:sz w:val="22"/>
                <w:szCs w:val="22"/>
              </w:rPr>
              <w:t xml:space="preserve"> into the following sections:</w:t>
            </w:r>
          </w:p>
          <w:p w14:paraId="0AB09B15" w14:textId="77777777" w:rsidR="00EA0362" w:rsidRPr="007F293C" w:rsidRDefault="00EA0362">
            <w:pPr>
              <w:pStyle w:val="Extmemo"/>
              <w:rPr>
                <w:rFonts w:ascii="Times New Roman" w:hAnsi="Times New Roman"/>
                <w:sz w:val="22"/>
                <w:szCs w:val="22"/>
              </w:rPr>
            </w:pPr>
          </w:p>
          <w:p w14:paraId="343A3764" w14:textId="77777777" w:rsidR="006800C0" w:rsidRPr="007F293C" w:rsidRDefault="006800C0" w:rsidP="006800C0">
            <w:pPr>
              <w:pStyle w:val="Extmemo"/>
              <w:numPr>
                <w:ilvl w:val="0"/>
                <w:numId w:val="20"/>
              </w:numPr>
              <w:rPr>
                <w:rFonts w:ascii="Times New Roman" w:hAnsi="Times New Roman"/>
                <w:sz w:val="22"/>
                <w:szCs w:val="22"/>
              </w:rPr>
            </w:pPr>
            <w:r w:rsidRPr="007F293C">
              <w:rPr>
                <w:rFonts w:ascii="Times New Roman" w:hAnsi="Times New Roman"/>
                <w:b/>
                <w:sz w:val="22"/>
                <w:szCs w:val="22"/>
              </w:rPr>
              <w:t>Sort Order</w:t>
            </w:r>
            <w:r w:rsidRPr="007F293C">
              <w:rPr>
                <w:rFonts w:ascii="Times New Roman" w:hAnsi="Times New Roman"/>
                <w:sz w:val="22"/>
                <w:szCs w:val="22"/>
              </w:rPr>
              <w:t xml:space="preserve"> - Agencies can select the sort order for their W-2s.  The </w:t>
            </w:r>
            <w:r w:rsidRPr="00802CAC">
              <w:rPr>
                <w:rFonts w:ascii="Times New Roman" w:hAnsi="Times New Roman"/>
                <w:i/>
                <w:sz w:val="22"/>
                <w:szCs w:val="22"/>
              </w:rPr>
              <w:t xml:space="preserve">default </w:t>
            </w:r>
            <w:r w:rsidRPr="00802CAC">
              <w:rPr>
                <w:rFonts w:ascii="Times New Roman" w:hAnsi="Times New Roman"/>
                <w:sz w:val="22"/>
                <w:szCs w:val="22"/>
              </w:rPr>
              <w:t xml:space="preserve">W-2 sort order is alphabetical by employee (last name, first name, and middle initial) within organization code.  The </w:t>
            </w:r>
            <w:r w:rsidRPr="00802CAC">
              <w:rPr>
                <w:rFonts w:ascii="Times New Roman" w:hAnsi="Times New Roman"/>
                <w:i/>
                <w:sz w:val="22"/>
                <w:szCs w:val="22"/>
              </w:rPr>
              <w:t>alternative</w:t>
            </w:r>
            <w:r w:rsidRPr="00802CAC">
              <w:rPr>
                <w:rFonts w:ascii="Times New Roman" w:hAnsi="Times New Roman"/>
                <w:sz w:val="22"/>
                <w:szCs w:val="22"/>
              </w:rPr>
              <w:t xml:space="preserve"> sort order is alphabetical by employee within the agency (i.e., ignores organization codes).  Please review y</w:t>
            </w:r>
            <w:r w:rsidRPr="007F293C">
              <w:rPr>
                <w:rFonts w:ascii="Times New Roman" w:hAnsi="Times New Roman"/>
                <w:sz w:val="22"/>
                <w:szCs w:val="22"/>
              </w:rPr>
              <w:t>our distribution process and indicate your preferred sort order on the form.</w:t>
            </w:r>
          </w:p>
          <w:p w14:paraId="386BCB19" w14:textId="77777777" w:rsidR="006800C0" w:rsidRPr="007F293C" w:rsidRDefault="006800C0" w:rsidP="006800C0">
            <w:pPr>
              <w:pStyle w:val="Extmemo"/>
              <w:rPr>
                <w:rFonts w:ascii="Times New Roman" w:hAnsi="Times New Roman"/>
                <w:sz w:val="22"/>
                <w:szCs w:val="22"/>
              </w:rPr>
            </w:pPr>
          </w:p>
          <w:p w14:paraId="1A5B5AC5" w14:textId="7D00F742" w:rsidR="00EA0362" w:rsidRPr="004E5C0E" w:rsidRDefault="00EA0362">
            <w:pPr>
              <w:pStyle w:val="Extmemo"/>
              <w:numPr>
                <w:ilvl w:val="0"/>
                <w:numId w:val="19"/>
              </w:numPr>
              <w:rPr>
                <w:rFonts w:ascii="Times New Roman" w:hAnsi="Times New Roman"/>
                <w:sz w:val="22"/>
                <w:szCs w:val="22"/>
              </w:rPr>
            </w:pPr>
            <w:r w:rsidRPr="007F293C">
              <w:rPr>
                <w:rFonts w:ascii="Times New Roman" w:hAnsi="Times New Roman"/>
                <w:b/>
                <w:sz w:val="22"/>
                <w:szCs w:val="22"/>
              </w:rPr>
              <w:t>Distribution</w:t>
            </w:r>
            <w:r w:rsidRPr="007F293C">
              <w:rPr>
                <w:rFonts w:ascii="Times New Roman" w:hAnsi="Times New Roman"/>
                <w:sz w:val="22"/>
                <w:szCs w:val="22"/>
              </w:rPr>
              <w:t xml:space="preserve"> </w:t>
            </w:r>
            <w:r w:rsidR="00C723B8">
              <w:rPr>
                <w:rFonts w:ascii="Times New Roman" w:hAnsi="Times New Roman"/>
                <w:sz w:val="22"/>
                <w:szCs w:val="22"/>
              </w:rPr>
              <w:t>–</w:t>
            </w:r>
            <w:r w:rsidRPr="007F293C">
              <w:rPr>
                <w:rFonts w:ascii="Times New Roman" w:hAnsi="Times New Roman"/>
                <w:sz w:val="22"/>
                <w:szCs w:val="22"/>
              </w:rPr>
              <w:t xml:space="preserve"> </w:t>
            </w:r>
            <w:r w:rsidR="00C723B8">
              <w:rPr>
                <w:rFonts w:ascii="Times New Roman" w:hAnsi="Times New Roman"/>
                <w:sz w:val="22"/>
                <w:szCs w:val="22"/>
              </w:rPr>
              <w:t xml:space="preserve">Only two options are available this year.  </w:t>
            </w:r>
            <w:r w:rsidRPr="007F293C">
              <w:rPr>
                <w:rFonts w:ascii="Times New Roman" w:hAnsi="Times New Roman"/>
                <w:sz w:val="22"/>
                <w:szCs w:val="22"/>
              </w:rPr>
              <w:t xml:space="preserve">Agencies can choose whether to </w:t>
            </w:r>
            <w:r w:rsidR="00C723B8">
              <w:rPr>
                <w:rFonts w:ascii="Times New Roman" w:hAnsi="Times New Roman"/>
                <w:sz w:val="22"/>
                <w:szCs w:val="22"/>
              </w:rPr>
              <w:t xml:space="preserve">receive all of their W2s directly </w:t>
            </w:r>
            <w:r w:rsidRPr="007F293C">
              <w:rPr>
                <w:rFonts w:ascii="Times New Roman" w:hAnsi="Times New Roman"/>
                <w:sz w:val="22"/>
                <w:szCs w:val="22"/>
              </w:rPr>
              <w:t>via UPS</w:t>
            </w:r>
            <w:r w:rsidR="00C723B8">
              <w:rPr>
                <w:rFonts w:ascii="Times New Roman" w:hAnsi="Times New Roman"/>
                <w:sz w:val="22"/>
                <w:szCs w:val="22"/>
              </w:rPr>
              <w:t xml:space="preserve"> or </w:t>
            </w:r>
            <w:r w:rsidR="00257DF7">
              <w:rPr>
                <w:rFonts w:ascii="Times New Roman" w:hAnsi="Times New Roman"/>
                <w:sz w:val="22"/>
                <w:szCs w:val="22"/>
              </w:rPr>
              <w:t>mail</w:t>
            </w:r>
            <w:r w:rsidR="00C723B8">
              <w:rPr>
                <w:rFonts w:ascii="Times New Roman" w:hAnsi="Times New Roman"/>
                <w:sz w:val="22"/>
                <w:szCs w:val="22"/>
              </w:rPr>
              <w:t xml:space="preserve">ed </w:t>
            </w:r>
            <w:r w:rsidR="00257DF7">
              <w:rPr>
                <w:rFonts w:ascii="Times New Roman" w:hAnsi="Times New Roman"/>
                <w:sz w:val="22"/>
                <w:szCs w:val="22"/>
              </w:rPr>
              <w:t>directly to employees</w:t>
            </w:r>
            <w:r w:rsidR="00C723B8">
              <w:rPr>
                <w:rFonts w:ascii="Times New Roman" w:hAnsi="Times New Roman"/>
                <w:sz w:val="22"/>
                <w:szCs w:val="22"/>
              </w:rPr>
              <w:t xml:space="preserve"> by DOA</w:t>
            </w:r>
            <w:r w:rsidR="00257DF7">
              <w:rPr>
                <w:rFonts w:ascii="Times New Roman" w:hAnsi="Times New Roman"/>
                <w:sz w:val="22"/>
                <w:szCs w:val="22"/>
              </w:rPr>
              <w:t>.  Agencies selecting this option will be charged for postage only.</w:t>
            </w:r>
            <w:r w:rsidR="000E1149" w:rsidRPr="004E5C0E">
              <w:rPr>
                <w:rFonts w:ascii="Times New Roman" w:hAnsi="Times New Roman"/>
                <w:sz w:val="22"/>
                <w:szCs w:val="22"/>
              </w:rPr>
              <w:t xml:space="preserve">  </w:t>
            </w:r>
            <w:r w:rsidR="006800C0" w:rsidRPr="004E5C0E">
              <w:rPr>
                <w:rFonts w:ascii="Times New Roman" w:hAnsi="Times New Roman"/>
                <w:sz w:val="22"/>
                <w:szCs w:val="22"/>
              </w:rPr>
              <w:t xml:space="preserve">Client agencies of the Payroll Service Bureau </w:t>
            </w:r>
            <w:r w:rsidR="00257DF7">
              <w:rPr>
                <w:rFonts w:ascii="Times New Roman" w:hAnsi="Times New Roman"/>
                <w:sz w:val="22"/>
                <w:szCs w:val="22"/>
              </w:rPr>
              <w:t>must communicate distribution preferences to the PSB</w:t>
            </w:r>
            <w:r w:rsidR="006800C0" w:rsidRPr="004E5C0E">
              <w:rPr>
                <w:rFonts w:ascii="Times New Roman" w:hAnsi="Times New Roman"/>
                <w:sz w:val="22"/>
                <w:szCs w:val="22"/>
              </w:rPr>
              <w:t xml:space="preserve">.  </w:t>
            </w:r>
          </w:p>
          <w:p w14:paraId="3DB6057E" w14:textId="77777777" w:rsidR="00EA0362" w:rsidRPr="007F293C" w:rsidRDefault="00EA0362">
            <w:pPr>
              <w:pStyle w:val="Extmemo"/>
              <w:rPr>
                <w:rFonts w:ascii="Times New Roman" w:hAnsi="Times New Roman"/>
                <w:sz w:val="22"/>
                <w:szCs w:val="22"/>
              </w:rPr>
            </w:pPr>
          </w:p>
          <w:p w14:paraId="0AFD8905" w14:textId="77777777" w:rsidR="00EA0362" w:rsidRPr="007F293C" w:rsidRDefault="00EA0362">
            <w:pPr>
              <w:pStyle w:val="BlockText"/>
              <w:numPr>
                <w:ilvl w:val="0"/>
                <w:numId w:val="30"/>
              </w:numPr>
              <w:jc w:val="both"/>
              <w:rPr>
                <w:sz w:val="22"/>
                <w:szCs w:val="22"/>
              </w:rPr>
            </w:pPr>
            <w:r w:rsidRPr="007F293C">
              <w:rPr>
                <w:b/>
                <w:sz w:val="22"/>
                <w:szCs w:val="22"/>
              </w:rPr>
              <w:t>Agency Contact</w:t>
            </w:r>
            <w:r w:rsidRPr="007F293C">
              <w:rPr>
                <w:sz w:val="22"/>
                <w:szCs w:val="22"/>
              </w:rPr>
              <w:t xml:space="preserve"> - Agencies must provide a primary agency contact for DOA to notify regarding W-2 distribution.  DOA will notify agencies when their W-2s are ready for distribution.</w:t>
            </w:r>
            <w:r w:rsidR="006800C0">
              <w:rPr>
                <w:sz w:val="22"/>
                <w:szCs w:val="22"/>
              </w:rPr>
              <w:t xml:space="preserve">  </w:t>
            </w:r>
            <w:r w:rsidR="006800C0" w:rsidRPr="00532C19">
              <w:rPr>
                <w:b/>
                <w:i/>
                <w:sz w:val="22"/>
                <w:szCs w:val="22"/>
              </w:rPr>
              <w:t>Do not make inquiries as to when your W-2s will be ready.</w:t>
            </w:r>
          </w:p>
        </w:tc>
      </w:tr>
    </w:tbl>
    <w:p w14:paraId="74A70263" w14:textId="77777777" w:rsidR="00EA0362" w:rsidRPr="003B24E3" w:rsidRDefault="00EA0362" w:rsidP="003B24E3">
      <w:pPr>
        <w:pStyle w:val="BlockLine"/>
        <w:spacing w:before="120"/>
        <w:ind w:left="1699"/>
        <w:rPr>
          <w:sz w:val="16"/>
          <w:szCs w:val="16"/>
        </w:rPr>
      </w:pPr>
    </w:p>
    <w:tbl>
      <w:tblPr>
        <w:tblW w:w="10188" w:type="dxa"/>
        <w:tblLayout w:type="fixed"/>
        <w:tblLook w:val="0000" w:firstRow="0" w:lastRow="0" w:firstColumn="0" w:lastColumn="0" w:noHBand="0" w:noVBand="0"/>
      </w:tblPr>
      <w:tblGrid>
        <w:gridCol w:w="1728"/>
        <w:gridCol w:w="8460"/>
      </w:tblGrid>
      <w:tr w:rsidR="00EA0362" w14:paraId="46799B7C" w14:textId="77777777" w:rsidTr="008D54EB">
        <w:trPr>
          <w:cantSplit/>
        </w:trPr>
        <w:tc>
          <w:tcPr>
            <w:tcW w:w="1728" w:type="dxa"/>
          </w:tcPr>
          <w:p w14:paraId="461398EF" w14:textId="77777777" w:rsidR="00EA0362" w:rsidRPr="00735FEF" w:rsidRDefault="00EA0362" w:rsidP="00722047">
            <w:pPr>
              <w:pStyle w:val="Heading5"/>
              <w:rPr>
                <w:sz w:val="24"/>
                <w:szCs w:val="24"/>
              </w:rPr>
            </w:pPr>
            <w:r w:rsidRPr="00735FEF">
              <w:rPr>
                <w:sz w:val="24"/>
                <w:szCs w:val="24"/>
              </w:rPr>
              <w:t xml:space="preserve">How to </w:t>
            </w:r>
            <w:r w:rsidR="005C31D7">
              <w:rPr>
                <w:sz w:val="24"/>
                <w:szCs w:val="24"/>
              </w:rPr>
              <w:t>Obtain a</w:t>
            </w:r>
            <w:r w:rsidR="00722047">
              <w:rPr>
                <w:sz w:val="24"/>
                <w:szCs w:val="24"/>
              </w:rPr>
              <w:t xml:space="preserve"> Duplicate</w:t>
            </w:r>
            <w:r w:rsidRPr="00735FEF">
              <w:rPr>
                <w:sz w:val="24"/>
                <w:szCs w:val="24"/>
              </w:rPr>
              <w:t xml:space="preserve"> W-2</w:t>
            </w:r>
          </w:p>
        </w:tc>
        <w:tc>
          <w:tcPr>
            <w:tcW w:w="8460" w:type="dxa"/>
          </w:tcPr>
          <w:p w14:paraId="78DEE429" w14:textId="77777777" w:rsidR="00EA0362" w:rsidRDefault="00EA0362" w:rsidP="00722047">
            <w:pPr>
              <w:pStyle w:val="Extmemo"/>
              <w:rPr>
                <w:rFonts w:ascii="Times New Roman" w:hAnsi="Times New Roman"/>
                <w:sz w:val="22"/>
                <w:szCs w:val="22"/>
              </w:rPr>
            </w:pPr>
            <w:r w:rsidRPr="00735FEF">
              <w:rPr>
                <w:rFonts w:ascii="Times New Roman" w:hAnsi="Times New Roman"/>
                <w:sz w:val="22"/>
                <w:szCs w:val="22"/>
              </w:rPr>
              <w:t>The IRS does not specify the time</w:t>
            </w:r>
            <w:r w:rsidR="00126CC9">
              <w:rPr>
                <w:rFonts w:ascii="Times New Roman" w:hAnsi="Times New Roman"/>
                <w:sz w:val="22"/>
                <w:szCs w:val="22"/>
              </w:rPr>
              <w:t xml:space="preserve"> </w:t>
            </w:r>
            <w:r w:rsidRPr="00735FEF">
              <w:rPr>
                <w:rFonts w:ascii="Times New Roman" w:hAnsi="Times New Roman"/>
                <w:sz w:val="22"/>
                <w:szCs w:val="22"/>
              </w:rPr>
              <w:t>frame in which duplicate W-2s must be reissued</w:t>
            </w:r>
            <w:r w:rsidRPr="00735FEF">
              <w:rPr>
                <w:rFonts w:ascii="Times New Roman" w:hAnsi="Times New Roman"/>
                <w:b/>
                <w:sz w:val="22"/>
                <w:szCs w:val="22"/>
              </w:rPr>
              <w:t xml:space="preserve">.  </w:t>
            </w:r>
            <w:r w:rsidR="007D48C0" w:rsidRPr="00735FEF">
              <w:rPr>
                <w:rFonts w:ascii="Times New Roman" w:hAnsi="Times New Roman"/>
                <w:sz w:val="22"/>
                <w:szCs w:val="22"/>
              </w:rPr>
              <w:t>Agencies have t</w:t>
            </w:r>
            <w:r w:rsidR="006757F4">
              <w:rPr>
                <w:rFonts w:ascii="Times New Roman" w:hAnsi="Times New Roman"/>
                <w:sz w:val="22"/>
                <w:szCs w:val="22"/>
              </w:rPr>
              <w:t>hree</w:t>
            </w:r>
            <w:r w:rsidR="007D48C0" w:rsidRPr="00735FEF">
              <w:rPr>
                <w:rFonts w:ascii="Times New Roman" w:hAnsi="Times New Roman"/>
                <w:sz w:val="22"/>
                <w:szCs w:val="22"/>
              </w:rPr>
              <w:t xml:space="preserve"> options w</w:t>
            </w:r>
            <w:r w:rsidRPr="00735FEF">
              <w:rPr>
                <w:rFonts w:ascii="Times New Roman" w:hAnsi="Times New Roman"/>
                <w:sz w:val="22"/>
                <w:szCs w:val="22"/>
              </w:rPr>
              <w:t>hen employees request that you issue duplicate W-2s:</w:t>
            </w:r>
          </w:p>
          <w:p w14:paraId="19E3E2D9" w14:textId="77777777" w:rsidR="008D54EB" w:rsidRDefault="008D54EB" w:rsidP="00722047">
            <w:pPr>
              <w:pStyle w:val="Extmemo"/>
              <w:rPr>
                <w:rFonts w:ascii="Times New Roman" w:hAnsi="Times New Roman"/>
                <w:sz w:val="22"/>
                <w:szCs w:val="22"/>
              </w:rPr>
            </w:pPr>
          </w:p>
          <w:tbl>
            <w:tblPr>
              <w:tblW w:w="8254" w:type="dxa"/>
              <w:tblLayout w:type="fixed"/>
              <w:tblLook w:val="0000" w:firstRow="0" w:lastRow="0" w:firstColumn="0" w:lastColumn="0" w:noHBand="0" w:noVBand="0"/>
            </w:tblPr>
            <w:tblGrid>
              <w:gridCol w:w="889"/>
              <w:gridCol w:w="7365"/>
            </w:tblGrid>
            <w:tr w:rsidR="008D54EB" w14:paraId="76DB68A5" w14:textId="77777777" w:rsidTr="008D54EB">
              <w:trPr>
                <w:cantSplit/>
              </w:trPr>
              <w:tc>
                <w:tcPr>
                  <w:tcW w:w="889" w:type="dxa"/>
                  <w:tcBorders>
                    <w:top w:val="single" w:sz="6" w:space="0" w:color="auto"/>
                    <w:left w:val="single" w:sz="6" w:space="0" w:color="auto"/>
                    <w:bottom w:val="single" w:sz="6" w:space="0" w:color="auto"/>
                    <w:right w:val="single" w:sz="6" w:space="0" w:color="auto"/>
                  </w:tcBorders>
                </w:tcPr>
                <w:p w14:paraId="56824C50" w14:textId="77777777" w:rsidR="008D54EB" w:rsidRDefault="008D54EB" w:rsidP="00F0171A">
                  <w:pPr>
                    <w:pStyle w:val="TableHeaderText"/>
                    <w:rPr>
                      <w:sz w:val="22"/>
                    </w:rPr>
                  </w:pPr>
                  <w:r>
                    <w:rPr>
                      <w:sz w:val="22"/>
                    </w:rPr>
                    <w:t>Option</w:t>
                  </w:r>
                </w:p>
              </w:tc>
              <w:tc>
                <w:tcPr>
                  <w:tcW w:w="7365" w:type="dxa"/>
                  <w:tcBorders>
                    <w:top w:val="single" w:sz="6" w:space="0" w:color="auto"/>
                    <w:bottom w:val="single" w:sz="6" w:space="0" w:color="auto"/>
                    <w:right w:val="single" w:sz="6" w:space="0" w:color="auto"/>
                  </w:tcBorders>
                </w:tcPr>
                <w:p w14:paraId="5FB67CB7" w14:textId="77777777" w:rsidR="008D54EB" w:rsidRDefault="008D54EB" w:rsidP="00F0171A">
                  <w:pPr>
                    <w:pStyle w:val="TableHeaderText"/>
                    <w:rPr>
                      <w:sz w:val="22"/>
                    </w:rPr>
                  </w:pPr>
                  <w:r>
                    <w:rPr>
                      <w:sz w:val="22"/>
                    </w:rPr>
                    <w:t>Action</w:t>
                  </w:r>
                </w:p>
              </w:tc>
            </w:tr>
            <w:tr w:rsidR="008D54EB" w14:paraId="093143A1" w14:textId="77777777" w:rsidTr="008D54EB">
              <w:trPr>
                <w:cantSplit/>
              </w:trPr>
              <w:tc>
                <w:tcPr>
                  <w:tcW w:w="889" w:type="dxa"/>
                  <w:tcBorders>
                    <w:top w:val="single" w:sz="6" w:space="0" w:color="auto"/>
                    <w:left w:val="single" w:sz="6" w:space="0" w:color="auto"/>
                    <w:bottom w:val="single" w:sz="6" w:space="0" w:color="auto"/>
                    <w:right w:val="single" w:sz="6" w:space="0" w:color="auto"/>
                  </w:tcBorders>
                </w:tcPr>
                <w:p w14:paraId="5A4A7EEC" w14:textId="77777777" w:rsidR="008D54EB" w:rsidRPr="00717793" w:rsidRDefault="008D54EB" w:rsidP="00F0171A">
                  <w:pPr>
                    <w:pStyle w:val="TableText"/>
                    <w:numPr>
                      <w:ilvl w:val="0"/>
                      <w:numId w:val="6"/>
                    </w:numPr>
                    <w:jc w:val="center"/>
                    <w:rPr>
                      <w:sz w:val="22"/>
                      <w:szCs w:val="22"/>
                    </w:rPr>
                  </w:pPr>
                </w:p>
              </w:tc>
              <w:tc>
                <w:tcPr>
                  <w:tcW w:w="7365" w:type="dxa"/>
                  <w:tcBorders>
                    <w:top w:val="single" w:sz="6" w:space="0" w:color="auto"/>
                    <w:bottom w:val="single" w:sz="6" w:space="0" w:color="auto"/>
                    <w:right w:val="single" w:sz="6" w:space="0" w:color="auto"/>
                  </w:tcBorders>
                </w:tcPr>
                <w:p w14:paraId="76F3FCAC" w14:textId="77777777" w:rsidR="008D54EB" w:rsidRPr="00717793" w:rsidRDefault="008D54EB" w:rsidP="00F0171A">
                  <w:pPr>
                    <w:pStyle w:val="BlockText"/>
                    <w:rPr>
                      <w:sz w:val="22"/>
                      <w:szCs w:val="22"/>
                    </w:rPr>
                  </w:pPr>
                  <w:r w:rsidRPr="00717793">
                    <w:rPr>
                      <w:sz w:val="22"/>
                      <w:szCs w:val="22"/>
                    </w:rPr>
                    <w:t xml:space="preserve">Check </w:t>
                  </w:r>
                  <w:proofErr w:type="gramStart"/>
                  <w:r w:rsidRPr="00717793">
                    <w:rPr>
                      <w:sz w:val="22"/>
                      <w:szCs w:val="22"/>
                    </w:rPr>
                    <w:t>your</w:t>
                  </w:r>
                  <w:proofErr w:type="gramEnd"/>
                  <w:r w:rsidRPr="00717793">
                    <w:rPr>
                      <w:sz w:val="22"/>
                      <w:szCs w:val="22"/>
                    </w:rPr>
                    <w:t xml:space="preserve"> returned W-2s file to see if the W-2 was returned as undeliverable.  If so, send this copy to the employee.  </w:t>
                  </w:r>
                </w:p>
              </w:tc>
            </w:tr>
            <w:tr w:rsidR="008D54EB" w14:paraId="396F3410" w14:textId="77777777" w:rsidTr="00020ACA">
              <w:trPr>
                <w:cantSplit/>
              </w:trPr>
              <w:tc>
                <w:tcPr>
                  <w:tcW w:w="889" w:type="dxa"/>
                  <w:tcBorders>
                    <w:top w:val="single" w:sz="6" w:space="0" w:color="auto"/>
                    <w:left w:val="single" w:sz="6" w:space="0" w:color="auto"/>
                    <w:bottom w:val="single" w:sz="6" w:space="0" w:color="auto"/>
                    <w:right w:val="single" w:sz="6" w:space="0" w:color="auto"/>
                  </w:tcBorders>
                </w:tcPr>
                <w:p w14:paraId="41FC35C1" w14:textId="77777777" w:rsidR="008D54EB" w:rsidRPr="00717793" w:rsidRDefault="008D54EB" w:rsidP="00F0171A">
                  <w:pPr>
                    <w:pStyle w:val="TableText"/>
                    <w:numPr>
                      <w:ilvl w:val="0"/>
                      <w:numId w:val="6"/>
                    </w:numPr>
                    <w:jc w:val="center"/>
                    <w:rPr>
                      <w:sz w:val="22"/>
                      <w:szCs w:val="22"/>
                    </w:rPr>
                  </w:pPr>
                </w:p>
              </w:tc>
              <w:tc>
                <w:tcPr>
                  <w:tcW w:w="7365" w:type="dxa"/>
                  <w:tcBorders>
                    <w:top w:val="single" w:sz="6" w:space="0" w:color="auto"/>
                    <w:bottom w:val="single" w:sz="6" w:space="0" w:color="auto"/>
                    <w:right w:val="single" w:sz="6" w:space="0" w:color="auto"/>
                  </w:tcBorders>
                </w:tcPr>
                <w:p w14:paraId="03A704C9" w14:textId="77777777" w:rsidR="008D54EB" w:rsidRPr="00717793" w:rsidRDefault="008D54EB" w:rsidP="00F0171A">
                  <w:pPr>
                    <w:pStyle w:val="BlockText"/>
                    <w:rPr>
                      <w:sz w:val="22"/>
                      <w:szCs w:val="22"/>
                    </w:rPr>
                  </w:pPr>
                  <w:r w:rsidRPr="00717793">
                    <w:rPr>
                      <w:sz w:val="22"/>
                      <w:szCs w:val="22"/>
                    </w:rPr>
                    <w:t xml:space="preserve">Use </w:t>
                  </w:r>
                  <w:proofErr w:type="spellStart"/>
                  <w:r w:rsidRPr="00717793">
                    <w:rPr>
                      <w:sz w:val="22"/>
                      <w:szCs w:val="22"/>
                    </w:rPr>
                    <w:t>Payline</w:t>
                  </w:r>
                  <w:proofErr w:type="spellEnd"/>
                  <w:r w:rsidRPr="00717793">
                    <w:rPr>
                      <w:sz w:val="22"/>
                      <w:szCs w:val="22"/>
                    </w:rPr>
                    <w:t xml:space="preserve"> Masking to print the employee a replacement W-2.</w:t>
                  </w:r>
                </w:p>
              </w:tc>
            </w:tr>
            <w:tr w:rsidR="008D54EB" w14:paraId="47C4C246" w14:textId="77777777" w:rsidTr="00020ACA">
              <w:trPr>
                <w:cantSplit/>
                <w:trHeight w:val="370"/>
              </w:trPr>
              <w:tc>
                <w:tcPr>
                  <w:tcW w:w="889" w:type="dxa"/>
                  <w:tcBorders>
                    <w:top w:val="single" w:sz="6" w:space="0" w:color="auto"/>
                    <w:left w:val="single" w:sz="6" w:space="0" w:color="auto"/>
                    <w:bottom w:val="single" w:sz="6" w:space="0" w:color="auto"/>
                    <w:right w:val="single" w:sz="6" w:space="0" w:color="auto"/>
                  </w:tcBorders>
                </w:tcPr>
                <w:p w14:paraId="7A2D279F" w14:textId="77777777" w:rsidR="008D54EB" w:rsidRPr="00717793" w:rsidRDefault="008D54EB" w:rsidP="00F0171A">
                  <w:pPr>
                    <w:pStyle w:val="TableText"/>
                    <w:numPr>
                      <w:ilvl w:val="0"/>
                      <w:numId w:val="6"/>
                    </w:numPr>
                    <w:jc w:val="center"/>
                    <w:rPr>
                      <w:sz w:val="22"/>
                      <w:szCs w:val="22"/>
                    </w:rPr>
                  </w:pPr>
                </w:p>
              </w:tc>
              <w:tc>
                <w:tcPr>
                  <w:tcW w:w="7365" w:type="dxa"/>
                  <w:tcBorders>
                    <w:top w:val="single" w:sz="6" w:space="0" w:color="auto"/>
                    <w:bottom w:val="single" w:sz="6" w:space="0" w:color="auto"/>
                    <w:right w:val="single" w:sz="6" w:space="0" w:color="auto"/>
                  </w:tcBorders>
                </w:tcPr>
                <w:p w14:paraId="3155E87D" w14:textId="77777777" w:rsidR="008D54EB" w:rsidRPr="00717793" w:rsidRDefault="008D54EB" w:rsidP="00F0171A">
                  <w:pPr>
                    <w:pStyle w:val="BlockText"/>
                    <w:rPr>
                      <w:sz w:val="22"/>
                      <w:szCs w:val="22"/>
                    </w:rPr>
                  </w:pPr>
                  <w:r>
                    <w:rPr>
                      <w:sz w:val="22"/>
                      <w:szCs w:val="22"/>
                    </w:rPr>
                    <w:t xml:space="preserve">Counsel employees on the use of </w:t>
                  </w:r>
                  <w:proofErr w:type="spellStart"/>
                  <w:r>
                    <w:rPr>
                      <w:sz w:val="22"/>
                      <w:szCs w:val="22"/>
                    </w:rPr>
                    <w:t>Payline</w:t>
                  </w:r>
                  <w:proofErr w:type="spellEnd"/>
                  <w:r>
                    <w:rPr>
                      <w:sz w:val="22"/>
                      <w:szCs w:val="22"/>
                    </w:rPr>
                    <w:t xml:space="preserve"> to print their own replacement</w:t>
                  </w:r>
                </w:p>
              </w:tc>
            </w:tr>
          </w:tbl>
          <w:p w14:paraId="625DE07A" w14:textId="77777777" w:rsidR="008D54EB" w:rsidRPr="00735FEF" w:rsidRDefault="008D54EB" w:rsidP="00722047">
            <w:pPr>
              <w:pStyle w:val="Extmemo"/>
              <w:rPr>
                <w:sz w:val="22"/>
                <w:szCs w:val="22"/>
              </w:rPr>
            </w:pPr>
          </w:p>
        </w:tc>
      </w:tr>
    </w:tbl>
    <w:p w14:paraId="6144D1C7" w14:textId="77777777" w:rsidR="00C47B5E" w:rsidRPr="003B24E3" w:rsidRDefault="00C47B5E" w:rsidP="00C47B5E">
      <w:pPr>
        <w:rPr>
          <w:sz w:val="20"/>
        </w:rPr>
      </w:pPr>
    </w:p>
    <w:p w14:paraId="28309FE1" w14:textId="77777777" w:rsidR="00C47B5E" w:rsidRPr="003B24E3" w:rsidRDefault="00C47B5E" w:rsidP="00C47B5E">
      <w:pPr>
        <w:pStyle w:val="ContinuedOnNextPa"/>
        <w:outlineLvl w:val="0"/>
      </w:pPr>
      <w:r w:rsidRPr="003B24E3">
        <w:t>Continued on next page</w:t>
      </w:r>
    </w:p>
    <w:p w14:paraId="7285E48F" w14:textId="77777777" w:rsidR="00E27A2F" w:rsidRDefault="00E27A2F" w:rsidP="00E27A2F"/>
    <w:p w14:paraId="16C20FD8" w14:textId="77777777" w:rsidR="009D6268" w:rsidRDefault="009D6268">
      <w:pPr>
        <w:rPr>
          <w:b/>
          <w:sz w:val="28"/>
          <w:szCs w:val="28"/>
        </w:rPr>
      </w:pPr>
      <w:r>
        <w:rPr>
          <w:sz w:val="28"/>
          <w:szCs w:val="28"/>
        </w:rPr>
        <w:br w:type="page"/>
      </w:r>
    </w:p>
    <w:p w14:paraId="6F47C447" w14:textId="7DED617E" w:rsidR="00E27A2F" w:rsidRPr="002024B2" w:rsidRDefault="00E27A2F" w:rsidP="00E27A2F">
      <w:pPr>
        <w:pStyle w:val="MapTitleContinued"/>
        <w:spacing w:after="120"/>
        <w:outlineLvl w:val="0"/>
        <w:rPr>
          <w:rFonts w:ascii="Times New Roman" w:hAnsi="Times New Roman"/>
          <w:b w:val="0"/>
          <w:sz w:val="24"/>
        </w:rPr>
      </w:pPr>
      <w:r w:rsidRPr="002024B2">
        <w:rPr>
          <w:rFonts w:ascii="Times New Roman" w:hAnsi="Times New Roman"/>
          <w:sz w:val="28"/>
          <w:szCs w:val="28"/>
        </w:rPr>
        <w:t>W-2 Forms,</w:t>
      </w:r>
      <w:r w:rsidRPr="002024B2">
        <w:rPr>
          <w:rFonts w:ascii="Times New Roman" w:hAnsi="Times New Roman"/>
        </w:rPr>
        <w:t xml:space="preserve"> </w:t>
      </w:r>
      <w:r w:rsidRPr="002024B2">
        <w:rPr>
          <w:rFonts w:ascii="Times New Roman" w:hAnsi="Times New Roman"/>
          <w:b w:val="0"/>
          <w:sz w:val="24"/>
          <w:szCs w:val="24"/>
        </w:rPr>
        <w:t>continued</w:t>
      </w:r>
    </w:p>
    <w:p w14:paraId="2F41D73F" w14:textId="77777777" w:rsidR="00E27A2F" w:rsidRPr="003B24E3" w:rsidRDefault="00E27A2F" w:rsidP="00E27A2F">
      <w:pPr>
        <w:pStyle w:val="BlockLine"/>
        <w:spacing w:before="0"/>
        <w:ind w:left="1699"/>
        <w:rPr>
          <w:sz w:val="16"/>
          <w:szCs w:val="16"/>
        </w:rPr>
      </w:pPr>
    </w:p>
    <w:tbl>
      <w:tblPr>
        <w:tblW w:w="0" w:type="auto"/>
        <w:tblLayout w:type="fixed"/>
        <w:tblLook w:val="0000" w:firstRow="0" w:lastRow="0" w:firstColumn="0" w:lastColumn="0" w:noHBand="0" w:noVBand="0"/>
      </w:tblPr>
      <w:tblGrid>
        <w:gridCol w:w="1728"/>
        <w:gridCol w:w="8460"/>
      </w:tblGrid>
      <w:tr w:rsidR="00EA0362" w14:paraId="7BADF371" w14:textId="77777777">
        <w:trPr>
          <w:cantSplit/>
        </w:trPr>
        <w:tc>
          <w:tcPr>
            <w:tcW w:w="1728" w:type="dxa"/>
          </w:tcPr>
          <w:p w14:paraId="0BEB64AE" w14:textId="77777777" w:rsidR="00EA0362" w:rsidRPr="00167684" w:rsidRDefault="00EA0362">
            <w:pPr>
              <w:pStyle w:val="Heading5"/>
              <w:rPr>
                <w:sz w:val="24"/>
                <w:szCs w:val="24"/>
              </w:rPr>
            </w:pPr>
            <w:r w:rsidRPr="00167684">
              <w:rPr>
                <w:sz w:val="24"/>
                <w:szCs w:val="24"/>
              </w:rPr>
              <w:br w:type="page"/>
              <w:t>Deceased Worker’s Wages</w:t>
            </w:r>
          </w:p>
        </w:tc>
        <w:tc>
          <w:tcPr>
            <w:tcW w:w="8460" w:type="dxa"/>
          </w:tcPr>
          <w:p w14:paraId="6082240D" w14:textId="77777777" w:rsidR="00EA0362" w:rsidRPr="00167684" w:rsidRDefault="00EA0362" w:rsidP="00A551AE">
            <w:pPr>
              <w:pStyle w:val="BlockText"/>
              <w:rPr>
                <w:sz w:val="22"/>
                <w:szCs w:val="22"/>
              </w:rPr>
            </w:pPr>
            <w:r w:rsidRPr="00167684">
              <w:rPr>
                <w:sz w:val="22"/>
                <w:szCs w:val="22"/>
              </w:rPr>
              <w:t>Report 891 (</w:t>
            </w:r>
            <w:r w:rsidRPr="00167684">
              <w:rPr>
                <w:i/>
                <w:sz w:val="22"/>
                <w:szCs w:val="22"/>
              </w:rPr>
              <w:t>Employees With YTD Deceased Pay</w:t>
            </w:r>
            <w:r w:rsidR="00895919" w:rsidRPr="00167684">
              <w:rPr>
                <w:sz w:val="22"/>
                <w:szCs w:val="22"/>
              </w:rPr>
              <w:t xml:space="preserve">) </w:t>
            </w:r>
            <w:r w:rsidR="00A551AE">
              <w:rPr>
                <w:sz w:val="22"/>
                <w:szCs w:val="22"/>
              </w:rPr>
              <w:t xml:space="preserve">provides a </w:t>
            </w:r>
            <w:r w:rsidRPr="00167684">
              <w:rPr>
                <w:sz w:val="22"/>
                <w:szCs w:val="22"/>
              </w:rPr>
              <w:t xml:space="preserve">listing </w:t>
            </w:r>
            <w:r w:rsidR="00A551AE">
              <w:rPr>
                <w:sz w:val="22"/>
                <w:szCs w:val="22"/>
              </w:rPr>
              <w:t xml:space="preserve">of </w:t>
            </w:r>
            <w:r w:rsidRPr="00167684">
              <w:rPr>
                <w:sz w:val="22"/>
                <w:szCs w:val="22"/>
              </w:rPr>
              <w:t>all employees in your agency that have been paid either Deceased Pay One or Deceased Pay Two.  A 'deceased' status is no longer reflected on the employee's W-2, however, Deceased Pay amounts must still be reported as follows:</w:t>
            </w:r>
          </w:p>
        </w:tc>
      </w:tr>
    </w:tbl>
    <w:p w14:paraId="5B612565" w14:textId="77777777" w:rsidR="00EA0362" w:rsidRDefault="00EA0362"/>
    <w:tbl>
      <w:tblPr>
        <w:tblW w:w="0" w:type="auto"/>
        <w:tblInd w:w="1800" w:type="dxa"/>
        <w:tblLayout w:type="fixed"/>
        <w:tblCellMar>
          <w:left w:w="80" w:type="dxa"/>
          <w:right w:w="80" w:type="dxa"/>
        </w:tblCellMar>
        <w:tblLook w:val="0000" w:firstRow="0" w:lastRow="0" w:firstColumn="0" w:lastColumn="0" w:noHBand="0" w:noVBand="0"/>
      </w:tblPr>
      <w:tblGrid>
        <w:gridCol w:w="1970"/>
        <w:gridCol w:w="6390"/>
      </w:tblGrid>
      <w:tr w:rsidR="00EA0362" w14:paraId="4B836907" w14:textId="77777777">
        <w:trPr>
          <w:cantSplit/>
        </w:trPr>
        <w:tc>
          <w:tcPr>
            <w:tcW w:w="1970" w:type="dxa"/>
            <w:tcBorders>
              <w:top w:val="single" w:sz="6" w:space="0" w:color="auto"/>
              <w:left w:val="single" w:sz="6" w:space="0" w:color="auto"/>
              <w:bottom w:val="single" w:sz="6" w:space="0" w:color="auto"/>
              <w:right w:val="single" w:sz="6" w:space="0" w:color="auto"/>
            </w:tcBorders>
          </w:tcPr>
          <w:p w14:paraId="38E46A89" w14:textId="77777777" w:rsidR="00EA0362" w:rsidRDefault="00EA0362">
            <w:pPr>
              <w:pStyle w:val="TableHeaderText"/>
              <w:rPr>
                <w:sz w:val="22"/>
              </w:rPr>
            </w:pPr>
            <w:r>
              <w:rPr>
                <w:sz w:val="22"/>
              </w:rPr>
              <w:t>Special Pay Type</w:t>
            </w:r>
          </w:p>
        </w:tc>
        <w:tc>
          <w:tcPr>
            <w:tcW w:w="6390" w:type="dxa"/>
            <w:tcBorders>
              <w:top w:val="single" w:sz="6" w:space="0" w:color="auto"/>
              <w:left w:val="single" w:sz="6" w:space="0" w:color="auto"/>
              <w:bottom w:val="single" w:sz="6" w:space="0" w:color="auto"/>
              <w:right w:val="single" w:sz="6" w:space="0" w:color="auto"/>
            </w:tcBorders>
          </w:tcPr>
          <w:p w14:paraId="2DD7D141" w14:textId="77777777" w:rsidR="00EA0362" w:rsidRDefault="00EA0362">
            <w:pPr>
              <w:pStyle w:val="TableHeaderText"/>
              <w:rPr>
                <w:sz w:val="22"/>
              </w:rPr>
            </w:pPr>
            <w:r>
              <w:rPr>
                <w:sz w:val="22"/>
              </w:rPr>
              <w:t>How Handled For W-2 Reporting</w:t>
            </w:r>
          </w:p>
        </w:tc>
      </w:tr>
      <w:tr w:rsidR="00EA0362" w14:paraId="2A52B794" w14:textId="77777777">
        <w:trPr>
          <w:cantSplit/>
        </w:trPr>
        <w:tc>
          <w:tcPr>
            <w:tcW w:w="1970" w:type="dxa"/>
            <w:tcBorders>
              <w:top w:val="single" w:sz="6" w:space="0" w:color="auto"/>
              <w:left w:val="single" w:sz="6" w:space="0" w:color="auto"/>
              <w:bottom w:val="single" w:sz="6" w:space="0" w:color="auto"/>
              <w:right w:val="single" w:sz="6" w:space="0" w:color="auto"/>
            </w:tcBorders>
          </w:tcPr>
          <w:p w14:paraId="0B611726" w14:textId="77777777" w:rsidR="00EA0362" w:rsidRDefault="00EA0362">
            <w:pPr>
              <w:pStyle w:val="TableText"/>
              <w:rPr>
                <w:b/>
                <w:sz w:val="22"/>
              </w:rPr>
            </w:pPr>
            <w:r>
              <w:rPr>
                <w:b/>
                <w:sz w:val="22"/>
              </w:rPr>
              <w:t xml:space="preserve">Deceased Pay </w:t>
            </w:r>
            <w:r w:rsidR="00241B62">
              <w:rPr>
                <w:b/>
                <w:sz w:val="22"/>
              </w:rPr>
              <w:t>1 – Dec-</w:t>
            </w:r>
            <w:proofErr w:type="spellStart"/>
            <w:r w:rsidR="00241B62">
              <w:rPr>
                <w:b/>
                <w:sz w:val="22"/>
              </w:rPr>
              <w:t>Curr</w:t>
            </w:r>
            <w:proofErr w:type="spellEnd"/>
          </w:p>
          <w:p w14:paraId="26C1CBF9" w14:textId="77777777" w:rsidR="00EA0362" w:rsidRDefault="00EA0362">
            <w:pPr>
              <w:pStyle w:val="TableText"/>
              <w:rPr>
                <w:sz w:val="22"/>
              </w:rPr>
            </w:pPr>
            <w:r>
              <w:rPr>
                <w:b/>
                <w:sz w:val="22"/>
              </w:rPr>
              <w:t xml:space="preserve">  </w:t>
            </w:r>
            <w:r>
              <w:rPr>
                <w:sz w:val="22"/>
              </w:rPr>
              <w:t>(</w:t>
            </w:r>
            <w:r>
              <w:rPr>
                <w:i/>
                <w:sz w:val="22"/>
              </w:rPr>
              <w:t>Special Pay 54 - current year</w:t>
            </w:r>
            <w:r>
              <w:rPr>
                <w:sz w:val="22"/>
              </w:rPr>
              <w:t>)</w:t>
            </w:r>
          </w:p>
        </w:tc>
        <w:tc>
          <w:tcPr>
            <w:tcW w:w="6390" w:type="dxa"/>
            <w:tcBorders>
              <w:top w:val="single" w:sz="6" w:space="0" w:color="auto"/>
              <w:left w:val="single" w:sz="6" w:space="0" w:color="auto"/>
              <w:bottom w:val="single" w:sz="6" w:space="0" w:color="auto"/>
              <w:right w:val="single" w:sz="6" w:space="0" w:color="auto"/>
            </w:tcBorders>
          </w:tcPr>
          <w:p w14:paraId="73BAC7A7" w14:textId="77777777" w:rsidR="00EA0362" w:rsidRDefault="00EA0362">
            <w:pPr>
              <w:pStyle w:val="Extmemo"/>
              <w:numPr>
                <w:ilvl w:val="0"/>
                <w:numId w:val="21"/>
              </w:numPr>
              <w:rPr>
                <w:rFonts w:ascii="Times New Roman" w:hAnsi="Times New Roman"/>
                <w:sz w:val="22"/>
              </w:rPr>
            </w:pPr>
            <w:r>
              <w:rPr>
                <w:rFonts w:ascii="Times New Roman" w:hAnsi="Times New Roman"/>
                <w:sz w:val="22"/>
              </w:rPr>
              <w:t xml:space="preserve">These amounts will not be included in </w:t>
            </w:r>
            <w:r w:rsidR="00A551AE">
              <w:rPr>
                <w:rFonts w:ascii="Times New Roman" w:hAnsi="Times New Roman"/>
                <w:sz w:val="22"/>
              </w:rPr>
              <w:t xml:space="preserve">Federal and State Wages </w:t>
            </w:r>
            <w:r w:rsidR="0096754C">
              <w:rPr>
                <w:rFonts w:ascii="Times New Roman" w:hAnsi="Times New Roman"/>
                <w:sz w:val="22"/>
              </w:rPr>
              <w:t>on the</w:t>
            </w:r>
            <w:r>
              <w:rPr>
                <w:rFonts w:ascii="Times New Roman" w:hAnsi="Times New Roman"/>
                <w:sz w:val="22"/>
              </w:rPr>
              <w:t xml:space="preserve"> year-end audit reports.</w:t>
            </w:r>
          </w:p>
          <w:p w14:paraId="5F8A3459" w14:textId="77777777" w:rsidR="00EA0362" w:rsidRDefault="00EA0362">
            <w:pPr>
              <w:pStyle w:val="Extmemo"/>
              <w:rPr>
                <w:rFonts w:ascii="Times New Roman" w:hAnsi="Times New Roman"/>
                <w:sz w:val="22"/>
              </w:rPr>
            </w:pPr>
          </w:p>
          <w:p w14:paraId="54071CB6" w14:textId="77777777" w:rsidR="00EA0362" w:rsidRDefault="00EA0362">
            <w:pPr>
              <w:pStyle w:val="Extmemo"/>
              <w:numPr>
                <w:ilvl w:val="0"/>
                <w:numId w:val="22"/>
              </w:numPr>
              <w:rPr>
                <w:rFonts w:ascii="Times New Roman" w:hAnsi="Times New Roman"/>
                <w:sz w:val="22"/>
              </w:rPr>
            </w:pPr>
            <w:r>
              <w:rPr>
                <w:rFonts w:ascii="Times New Roman" w:hAnsi="Times New Roman"/>
                <w:sz w:val="22"/>
              </w:rPr>
              <w:t xml:space="preserve">Both the OASDI/HI Taxable amounts and the OASDI/HI Taxes Withheld will be included on </w:t>
            </w:r>
            <w:r w:rsidR="0096754C">
              <w:rPr>
                <w:rFonts w:ascii="Times New Roman" w:hAnsi="Times New Roman"/>
                <w:sz w:val="22"/>
              </w:rPr>
              <w:t>the</w:t>
            </w:r>
            <w:r>
              <w:rPr>
                <w:rFonts w:ascii="Times New Roman" w:hAnsi="Times New Roman"/>
                <w:sz w:val="22"/>
              </w:rPr>
              <w:t xml:space="preserve"> year-end audit reports and will also be reported on a W-2.</w:t>
            </w:r>
          </w:p>
          <w:p w14:paraId="2FE55EEA" w14:textId="77777777" w:rsidR="00EA0362" w:rsidRDefault="00EA0362">
            <w:pPr>
              <w:pStyle w:val="Extmemo"/>
              <w:rPr>
                <w:rFonts w:ascii="Times New Roman" w:hAnsi="Times New Roman"/>
                <w:sz w:val="22"/>
              </w:rPr>
            </w:pPr>
          </w:p>
          <w:p w14:paraId="0D7706F6" w14:textId="0DE2DB2F" w:rsidR="00EA0362" w:rsidRDefault="00EA0362" w:rsidP="007A737A">
            <w:pPr>
              <w:pStyle w:val="TableText"/>
              <w:numPr>
                <w:ilvl w:val="0"/>
                <w:numId w:val="29"/>
              </w:numPr>
              <w:rPr>
                <w:sz w:val="22"/>
              </w:rPr>
            </w:pPr>
            <w:r>
              <w:rPr>
                <w:sz w:val="22"/>
              </w:rPr>
              <w:t xml:space="preserve">The Federal wages associated with </w:t>
            </w:r>
            <w:r w:rsidR="00241B62">
              <w:rPr>
                <w:sz w:val="22"/>
              </w:rPr>
              <w:t>d</w:t>
            </w:r>
            <w:r>
              <w:rPr>
                <w:sz w:val="22"/>
              </w:rPr>
              <w:t xml:space="preserve">eceased pay must be reported in Box 3 on a Form 1099-MISC.  Refer to the IRS instructions for </w:t>
            </w:r>
            <w:r w:rsidR="00DA50E6">
              <w:rPr>
                <w:sz w:val="22"/>
              </w:rPr>
              <w:t>2021</w:t>
            </w:r>
            <w:r>
              <w:rPr>
                <w:sz w:val="22"/>
              </w:rPr>
              <w:t xml:space="preserve"> form 1099-MISC for proper entries on the 1099-MISC.  The 1099-MISC should be made out to the name and SSN of the beneficiary if paid to an individual or the name and TIN of the estate if paid to the executor/administrator of the estate.  1099-MISC should </w:t>
            </w:r>
            <w:r>
              <w:rPr>
                <w:sz w:val="22"/>
                <w:u w:val="single"/>
              </w:rPr>
              <w:t>not</w:t>
            </w:r>
            <w:r>
              <w:rPr>
                <w:sz w:val="22"/>
              </w:rPr>
              <w:t xml:space="preserve"> be made to “the estate of…” with the deceased employee’s SSN.</w:t>
            </w:r>
          </w:p>
        </w:tc>
      </w:tr>
      <w:tr w:rsidR="00EA0362" w14:paraId="1A9BA632" w14:textId="77777777">
        <w:trPr>
          <w:cantSplit/>
        </w:trPr>
        <w:tc>
          <w:tcPr>
            <w:tcW w:w="1970" w:type="dxa"/>
            <w:tcBorders>
              <w:top w:val="single" w:sz="6" w:space="0" w:color="auto"/>
              <w:left w:val="single" w:sz="6" w:space="0" w:color="auto"/>
              <w:bottom w:val="single" w:sz="6" w:space="0" w:color="auto"/>
              <w:right w:val="single" w:sz="6" w:space="0" w:color="auto"/>
            </w:tcBorders>
          </w:tcPr>
          <w:p w14:paraId="425962AF" w14:textId="77777777" w:rsidR="00EA0362" w:rsidRDefault="00EA0362">
            <w:pPr>
              <w:pStyle w:val="TableText"/>
              <w:rPr>
                <w:b/>
                <w:sz w:val="22"/>
              </w:rPr>
            </w:pPr>
            <w:r>
              <w:rPr>
                <w:b/>
                <w:sz w:val="22"/>
              </w:rPr>
              <w:t xml:space="preserve">Deceased Pay </w:t>
            </w:r>
            <w:r w:rsidR="00241B62">
              <w:rPr>
                <w:b/>
                <w:sz w:val="22"/>
              </w:rPr>
              <w:t>2 – Dec-Prior</w:t>
            </w:r>
          </w:p>
          <w:p w14:paraId="7A2BBD12" w14:textId="77777777" w:rsidR="00EA0362" w:rsidRDefault="00EA0362">
            <w:pPr>
              <w:pStyle w:val="TableText"/>
              <w:rPr>
                <w:b/>
                <w:sz w:val="22"/>
              </w:rPr>
            </w:pPr>
            <w:r>
              <w:rPr>
                <w:b/>
                <w:sz w:val="22"/>
              </w:rPr>
              <w:t xml:space="preserve">  </w:t>
            </w:r>
            <w:r>
              <w:rPr>
                <w:sz w:val="22"/>
              </w:rPr>
              <w:t>(</w:t>
            </w:r>
            <w:r>
              <w:rPr>
                <w:i/>
                <w:sz w:val="22"/>
              </w:rPr>
              <w:t>Special Pay 55 - prior year</w:t>
            </w:r>
            <w:r>
              <w:rPr>
                <w:sz w:val="22"/>
              </w:rPr>
              <w:t>)</w:t>
            </w:r>
          </w:p>
        </w:tc>
        <w:tc>
          <w:tcPr>
            <w:tcW w:w="6390" w:type="dxa"/>
            <w:tcBorders>
              <w:top w:val="single" w:sz="6" w:space="0" w:color="auto"/>
              <w:left w:val="single" w:sz="6" w:space="0" w:color="auto"/>
              <w:bottom w:val="single" w:sz="6" w:space="0" w:color="auto"/>
              <w:right w:val="single" w:sz="6" w:space="0" w:color="auto"/>
            </w:tcBorders>
          </w:tcPr>
          <w:p w14:paraId="7B015226" w14:textId="77777777" w:rsidR="00EA0362" w:rsidRDefault="00EA0362">
            <w:pPr>
              <w:pStyle w:val="Extmemo"/>
              <w:numPr>
                <w:ilvl w:val="0"/>
                <w:numId w:val="23"/>
              </w:numPr>
              <w:rPr>
                <w:rFonts w:ascii="Times New Roman" w:hAnsi="Times New Roman"/>
                <w:sz w:val="22"/>
              </w:rPr>
            </w:pPr>
            <w:r>
              <w:rPr>
                <w:rFonts w:ascii="Times New Roman" w:hAnsi="Times New Roman"/>
                <w:sz w:val="22"/>
              </w:rPr>
              <w:t xml:space="preserve">Excluded from </w:t>
            </w:r>
            <w:r w:rsidR="00213583">
              <w:rPr>
                <w:rFonts w:ascii="Times New Roman" w:hAnsi="Times New Roman"/>
                <w:sz w:val="22"/>
              </w:rPr>
              <w:t>your quarter and</w:t>
            </w:r>
            <w:r>
              <w:rPr>
                <w:rFonts w:ascii="Times New Roman" w:hAnsi="Times New Roman"/>
                <w:sz w:val="22"/>
              </w:rPr>
              <w:t xml:space="preserve"> year-end reports.  Wages paid </w:t>
            </w:r>
            <w:r>
              <w:rPr>
                <w:rFonts w:ascii="Times New Roman" w:hAnsi="Times New Roman"/>
                <w:i/>
                <w:sz w:val="22"/>
              </w:rPr>
              <w:t xml:space="preserve">in the calendar year after death </w:t>
            </w:r>
            <w:r>
              <w:rPr>
                <w:rFonts w:ascii="Times New Roman" w:hAnsi="Times New Roman"/>
                <w:sz w:val="22"/>
              </w:rPr>
              <w:t xml:space="preserve">are exempt from FIT, </w:t>
            </w:r>
            <w:smartTag w:uri="urn:schemas-microsoft-com:office:smarttags" w:element="place">
              <w:smartTag w:uri="urn:schemas-microsoft-com:office:smarttags" w:element="City">
                <w:r>
                  <w:rPr>
                    <w:rFonts w:ascii="Times New Roman" w:hAnsi="Times New Roman"/>
                    <w:sz w:val="22"/>
                  </w:rPr>
                  <w:t>OASDI</w:t>
                </w:r>
              </w:smartTag>
              <w:r>
                <w:rPr>
                  <w:rFonts w:ascii="Times New Roman" w:hAnsi="Times New Roman"/>
                  <w:sz w:val="22"/>
                </w:rPr>
                <w:t xml:space="preserve">, </w:t>
              </w:r>
              <w:smartTag w:uri="urn:schemas-microsoft-com:office:smarttags" w:element="State">
                <w:r>
                  <w:rPr>
                    <w:rFonts w:ascii="Times New Roman" w:hAnsi="Times New Roman"/>
                    <w:sz w:val="22"/>
                  </w:rPr>
                  <w:t>HI</w:t>
                </w:r>
              </w:smartTag>
            </w:smartTag>
            <w:r>
              <w:rPr>
                <w:rFonts w:ascii="Times New Roman" w:hAnsi="Times New Roman"/>
                <w:sz w:val="22"/>
              </w:rPr>
              <w:t>, and State withholding.</w:t>
            </w:r>
          </w:p>
          <w:p w14:paraId="7CB96A52" w14:textId="77777777" w:rsidR="00EA0362" w:rsidRDefault="00EA0362">
            <w:pPr>
              <w:pStyle w:val="Extmemo"/>
              <w:rPr>
                <w:rFonts w:ascii="Times New Roman" w:hAnsi="Times New Roman"/>
                <w:sz w:val="22"/>
              </w:rPr>
            </w:pPr>
          </w:p>
          <w:p w14:paraId="7030C8FE" w14:textId="77777777" w:rsidR="00EA0362" w:rsidRDefault="00EA0362" w:rsidP="00DC394F">
            <w:pPr>
              <w:numPr>
                <w:ilvl w:val="0"/>
                <w:numId w:val="28"/>
              </w:numPr>
              <w:tabs>
                <w:tab w:val="clear" w:pos="720"/>
                <w:tab w:val="num" w:pos="370"/>
              </w:tabs>
              <w:ind w:left="370"/>
              <w:jc w:val="both"/>
              <w:rPr>
                <w:sz w:val="22"/>
              </w:rPr>
            </w:pPr>
            <w:r>
              <w:rPr>
                <w:sz w:val="22"/>
              </w:rPr>
              <w:t>The agency must report this compensation on a Form 1099-MISC to the estate or beneficiary of the employee.  A W-2 is not an appropriate reporting instrument for this payment.</w:t>
            </w:r>
          </w:p>
        </w:tc>
      </w:tr>
    </w:tbl>
    <w:p w14:paraId="6043919F" w14:textId="77777777" w:rsidR="00C47B5E" w:rsidRPr="00C47B5E" w:rsidRDefault="00EA0362" w:rsidP="00C47B5E">
      <w:pPr>
        <w:pStyle w:val="BlockLine"/>
        <w:rPr>
          <w:sz w:val="16"/>
          <w:szCs w:val="16"/>
        </w:rPr>
      </w:pPr>
      <w:r>
        <w:t xml:space="preserve"> </w:t>
      </w:r>
    </w:p>
    <w:tbl>
      <w:tblPr>
        <w:tblW w:w="0" w:type="auto"/>
        <w:tblLayout w:type="fixed"/>
        <w:tblLook w:val="0000" w:firstRow="0" w:lastRow="0" w:firstColumn="0" w:lastColumn="0" w:noHBand="0" w:noVBand="0"/>
      </w:tblPr>
      <w:tblGrid>
        <w:gridCol w:w="1728"/>
        <w:gridCol w:w="5760"/>
        <w:gridCol w:w="1530"/>
        <w:gridCol w:w="1170"/>
      </w:tblGrid>
      <w:tr w:rsidR="00C47B5E" w14:paraId="3D146826" w14:textId="77777777" w:rsidTr="00F37317">
        <w:trPr>
          <w:cantSplit/>
        </w:trPr>
        <w:tc>
          <w:tcPr>
            <w:tcW w:w="1728" w:type="dxa"/>
          </w:tcPr>
          <w:p w14:paraId="1B366937" w14:textId="77777777" w:rsidR="00C47B5E" w:rsidRPr="00E721B2" w:rsidRDefault="00C47B5E" w:rsidP="00F37317">
            <w:pPr>
              <w:pStyle w:val="Heading5"/>
              <w:rPr>
                <w:sz w:val="24"/>
                <w:szCs w:val="24"/>
              </w:rPr>
            </w:pPr>
            <w:r w:rsidRPr="00E721B2">
              <w:rPr>
                <w:sz w:val="24"/>
                <w:szCs w:val="24"/>
              </w:rPr>
              <w:t>Box 12 Entries</w:t>
            </w:r>
          </w:p>
        </w:tc>
        <w:tc>
          <w:tcPr>
            <w:tcW w:w="8460" w:type="dxa"/>
            <w:gridSpan w:val="3"/>
          </w:tcPr>
          <w:p w14:paraId="116F1E67" w14:textId="77777777" w:rsidR="00C47B5E" w:rsidRDefault="00C47B5E" w:rsidP="00F37317">
            <w:pPr>
              <w:jc w:val="both"/>
            </w:pPr>
            <w:r>
              <w:t xml:space="preserve">DOA will report the following amounts in </w:t>
            </w:r>
            <w:smartTag w:uri="urn:schemas-microsoft-com:office:smarttags" w:element="address">
              <w:smartTag w:uri="urn:schemas-microsoft-com:office:smarttags" w:element="Street">
                <w:r>
                  <w:t>box</w:t>
                </w:r>
              </w:smartTag>
              <w:r>
                <w:t xml:space="preserve"> 12</w:t>
              </w:r>
            </w:smartTag>
            <w:r>
              <w:t xml:space="preserve"> on the W-2:</w:t>
            </w:r>
          </w:p>
          <w:p w14:paraId="6EEE0A77" w14:textId="77777777" w:rsidR="00C47B5E" w:rsidRDefault="00C47B5E" w:rsidP="00F37317">
            <w:pPr>
              <w:jc w:val="both"/>
            </w:pPr>
          </w:p>
        </w:tc>
      </w:tr>
      <w:tr w:rsidR="00C47B5E" w14:paraId="22999139" w14:textId="77777777" w:rsidTr="00F37317">
        <w:trPr>
          <w:cantSplit/>
          <w:trHeight w:val="75"/>
        </w:trPr>
        <w:tc>
          <w:tcPr>
            <w:tcW w:w="1728" w:type="dxa"/>
            <w:vMerge w:val="restart"/>
          </w:tcPr>
          <w:p w14:paraId="52EC4974"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4DCAC433" w14:textId="77777777" w:rsidR="00C47B5E" w:rsidRDefault="00C47B5E" w:rsidP="00F37317">
            <w:pPr>
              <w:pStyle w:val="TableHeaderText"/>
              <w:rPr>
                <w:sz w:val="22"/>
              </w:rPr>
            </w:pPr>
            <w:r>
              <w:rPr>
                <w:sz w:val="22"/>
              </w:rPr>
              <w:t>Item Reported</w:t>
            </w:r>
          </w:p>
        </w:tc>
        <w:tc>
          <w:tcPr>
            <w:tcW w:w="1530" w:type="dxa"/>
            <w:tcBorders>
              <w:top w:val="single" w:sz="4" w:space="0" w:color="auto"/>
              <w:left w:val="single" w:sz="4" w:space="0" w:color="auto"/>
              <w:bottom w:val="single" w:sz="4" w:space="0" w:color="auto"/>
              <w:right w:val="single" w:sz="4" w:space="0" w:color="auto"/>
            </w:tcBorders>
          </w:tcPr>
          <w:p w14:paraId="76D5C94B" w14:textId="77777777" w:rsidR="00C47B5E" w:rsidRDefault="00C47B5E" w:rsidP="00F37317">
            <w:pPr>
              <w:jc w:val="center"/>
              <w:rPr>
                <w:b/>
                <w:sz w:val="22"/>
              </w:rPr>
            </w:pPr>
            <w:smartTag w:uri="urn:schemas-microsoft-com:office:smarttags" w:element="address">
              <w:smartTag w:uri="urn:schemas-microsoft-com:office:smarttags" w:element="Street">
                <w:r>
                  <w:rPr>
                    <w:b/>
                    <w:sz w:val="22"/>
                  </w:rPr>
                  <w:t>Box</w:t>
                </w:r>
              </w:smartTag>
              <w:r>
                <w:rPr>
                  <w:b/>
                  <w:sz w:val="22"/>
                </w:rPr>
                <w:t xml:space="preserve"> 12</w:t>
              </w:r>
            </w:smartTag>
            <w:r>
              <w:rPr>
                <w:b/>
                <w:sz w:val="22"/>
              </w:rPr>
              <w:t xml:space="preserve"> Code</w:t>
            </w:r>
          </w:p>
        </w:tc>
        <w:tc>
          <w:tcPr>
            <w:tcW w:w="1170" w:type="dxa"/>
            <w:tcBorders>
              <w:left w:val="nil"/>
            </w:tcBorders>
          </w:tcPr>
          <w:p w14:paraId="02982A40" w14:textId="77777777" w:rsidR="00C47B5E" w:rsidRDefault="00C47B5E" w:rsidP="00F37317">
            <w:pPr>
              <w:jc w:val="both"/>
            </w:pPr>
          </w:p>
        </w:tc>
      </w:tr>
      <w:tr w:rsidR="00C47B5E" w14:paraId="75C3B1FC" w14:textId="77777777" w:rsidTr="00F37317">
        <w:trPr>
          <w:cantSplit/>
          <w:trHeight w:val="72"/>
        </w:trPr>
        <w:tc>
          <w:tcPr>
            <w:tcW w:w="1728" w:type="dxa"/>
            <w:vMerge/>
          </w:tcPr>
          <w:p w14:paraId="7865057B"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5690455B" w14:textId="77777777" w:rsidR="00C47B5E" w:rsidRDefault="00C47B5E" w:rsidP="00F37317">
            <w:pPr>
              <w:jc w:val="both"/>
              <w:rPr>
                <w:sz w:val="22"/>
              </w:rPr>
            </w:pPr>
            <w:r>
              <w:rPr>
                <w:sz w:val="22"/>
              </w:rPr>
              <w:t>Tax Sheltered Annuities (403-b) amounts (Deduction 39)</w:t>
            </w:r>
          </w:p>
        </w:tc>
        <w:tc>
          <w:tcPr>
            <w:tcW w:w="1530" w:type="dxa"/>
            <w:tcBorders>
              <w:top w:val="single" w:sz="4" w:space="0" w:color="auto"/>
              <w:left w:val="single" w:sz="4" w:space="0" w:color="auto"/>
              <w:bottom w:val="single" w:sz="4" w:space="0" w:color="auto"/>
              <w:right w:val="single" w:sz="4" w:space="0" w:color="auto"/>
            </w:tcBorders>
          </w:tcPr>
          <w:p w14:paraId="77C18FB1" w14:textId="77777777" w:rsidR="00C47B5E" w:rsidRDefault="00C47B5E" w:rsidP="00F37317">
            <w:pPr>
              <w:jc w:val="center"/>
              <w:rPr>
                <w:sz w:val="22"/>
              </w:rPr>
            </w:pPr>
            <w:r>
              <w:rPr>
                <w:sz w:val="22"/>
              </w:rPr>
              <w:t>E</w:t>
            </w:r>
          </w:p>
        </w:tc>
        <w:tc>
          <w:tcPr>
            <w:tcW w:w="1170" w:type="dxa"/>
            <w:tcBorders>
              <w:left w:val="nil"/>
            </w:tcBorders>
          </w:tcPr>
          <w:p w14:paraId="57B27F1F" w14:textId="77777777" w:rsidR="00C47B5E" w:rsidRDefault="00C47B5E" w:rsidP="00F37317">
            <w:pPr>
              <w:jc w:val="both"/>
            </w:pPr>
          </w:p>
        </w:tc>
      </w:tr>
      <w:tr w:rsidR="00C47B5E" w14:paraId="3FBE9D0A" w14:textId="77777777" w:rsidTr="00F37317">
        <w:trPr>
          <w:cantSplit/>
          <w:trHeight w:val="72"/>
        </w:trPr>
        <w:tc>
          <w:tcPr>
            <w:tcW w:w="1728" w:type="dxa"/>
            <w:vMerge/>
          </w:tcPr>
          <w:p w14:paraId="6F8FF5B3"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00D1B643" w14:textId="77777777" w:rsidR="00C47B5E" w:rsidRDefault="00C47B5E" w:rsidP="00F37317">
            <w:pPr>
              <w:jc w:val="both"/>
              <w:rPr>
                <w:sz w:val="22"/>
              </w:rPr>
            </w:pPr>
            <w:r>
              <w:rPr>
                <w:sz w:val="22"/>
              </w:rPr>
              <w:t>Deferred Compensation (457) amounts (Deduction 38)</w:t>
            </w:r>
          </w:p>
        </w:tc>
        <w:tc>
          <w:tcPr>
            <w:tcW w:w="1530" w:type="dxa"/>
            <w:tcBorders>
              <w:top w:val="single" w:sz="4" w:space="0" w:color="auto"/>
              <w:left w:val="single" w:sz="4" w:space="0" w:color="auto"/>
              <w:bottom w:val="single" w:sz="4" w:space="0" w:color="auto"/>
              <w:right w:val="single" w:sz="4" w:space="0" w:color="auto"/>
            </w:tcBorders>
          </w:tcPr>
          <w:p w14:paraId="0849E0EA" w14:textId="77777777" w:rsidR="00C47B5E" w:rsidRDefault="00C47B5E" w:rsidP="00F37317">
            <w:pPr>
              <w:jc w:val="center"/>
              <w:rPr>
                <w:sz w:val="22"/>
              </w:rPr>
            </w:pPr>
            <w:r>
              <w:rPr>
                <w:sz w:val="22"/>
              </w:rPr>
              <w:t>G</w:t>
            </w:r>
          </w:p>
        </w:tc>
        <w:tc>
          <w:tcPr>
            <w:tcW w:w="1170" w:type="dxa"/>
            <w:tcBorders>
              <w:left w:val="nil"/>
            </w:tcBorders>
          </w:tcPr>
          <w:p w14:paraId="154629CF" w14:textId="77777777" w:rsidR="00C47B5E" w:rsidRDefault="00C47B5E" w:rsidP="00F37317">
            <w:pPr>
              <w:jc w:val="both"/>
            </w:pPr>
          </w:p>
        </w:tc>
      </w:tr>
      <w:tr w:rsidR="00C47B5E" w14:paraId="4C2C793B" w14:textId="77777777" w:rsidTr="00F37317">
        <w:trPr>
          <w:cantSplit/>
          <w:trHeight w:val="72"/>
        </w:trPr>
        <w:tc>
          <w:tcPr>
            <w:tcW w:w="1728" w:type="dxa"/>
            <w:vMerge/>
          </w:tcPr>
          <w:p w14:paraId="0E9B589F"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78A38E98" w14:textId="77777777" w:rsidR="00C47B5E" w:rsidRDefault="00C47B5E" w:rsidP="00F37317">
            <w:pPr>
              <w:jc w:val="both"/>
              <w:rPr>
                <w:sz w:val="22"/>
              </w:rPr>
            </w:pPr>
            <w:r>
              <w:rPr>
                <w:sz w:val="22"/>
              </w:rPr>
              <w:t>Imputed Life (Special Pay 014) amounts</w:t>
            </w:r>
          </w:p>
        </w:tc>
        <w:tc>
          <w:tcPr>
            <w:tcW w:w="1530" w:type="dxa"/>
            <w:tcBorders>
              <w:top w:val="single" w:sz="4" w:space="0" w:color="auto"/>
              <w:left w:val="single" w:sz="4" w:space="0" w:color="auto"/>
              <w:bottom w:val="single" w:sz="4" w:space="0" w:color="auto"/>
              <w:right w:val="single" w:sz="4" w:space="0" w:color="auto"/>
            </w:tcBorders>
          </w:tcPr>
          <w:p w14:paraId="35A25E52" w14:textId="77777777" w:rsidR="00C47B5E" w:rsidRDefault="00C47B5E" w:rsidP="00F37317">
            <w:pPr>
              <w:jc w:val="center"/>
              <w:rPr>
                <w:sz w:val="22"/>
              </w:rPr>
            </w:pPr>
            <w:r>
              <w:rPr>
                <w:sz w:val="22"/>
              </w:rPr>
              <w:t>C</w:t>
            </w:r>
          </w:p>
        </w:tc>
        <w:tc>
          <w:tcPr>
            <w:tcW w:w="1170" w:type="dxa"/>
            <w:tcBorders>
              <w:left w:val="nil"/>
            </w:tcBorders>
          </w:tcPr>
          <w:p w14:paraId="3109486E" w14:textId="77777777" w:rsidR="00C47B5E" w:rsidRDefault="00C47B5E" w:rsidP="00F37317">
            <w:pPr>
              <w:jc w:val="both"/>
            </w:pPr>
          </w:p>
        </w:tc>
      </w:tr>
      <w:tr w:rsidR="00C47B5E" w14:paraId="5CE7067F" w14:textId="77777777" w:rsidTr="00F37317">
        <w:trPr>
          <w:cantSplit/>
          <w:trHeight w:val="72"/>
        </w:trPr>
        <w:tc>
          <w:tcPr>
            <w:tcW w:w="1728" w:type="dxa"/>
            <w:vMerge/>
          </w:tcPr>
          <w:p w14:paraId="61339B08"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13CF7081" w14:textId="77777777" w:rsidR="00C47B5E" w:rsidRDefault="00C47B5E" w:rsidP="00F37317">
            <w:pPr>
              <w:jc w:val="both"/>
              <w:rPr>
                <w:sz w:val="22"/>
              </w:rPr>
            </w:pPr>
            <w:r>
              <w:rPr>
                <w:sz w:val="22"/>
              </w:rPr>
              <w:t>Uncollected Social Security (OASDI) amounts</w:t>
            </w:r>
          </w:p>
        </w:tc>
        <w:tc>
          <w:tcPr>
            <w:tcW w:w="1530" w:type="dxa"/>
            <w:tcBorders>
              <w:top w:val="single" w:sz="4" w:space="0" w:color="auto"/>
              <w:left w:val="single" w:sz="4" w:space="0" w:color="auto"/>
              <w:bottom w:val="single" w:sz="4" w:space="0" w:color="auto"/>
              <w:right w:val="single" w:sz="4" w:space="0" w:color="auto"/>
            </w:tcBorders>
          </w:tcPr>
          <w:p w14:paraId="181BBC3D" w14:textId="77777777" w:rsidR="00C47B5E" w:rsidRDefault="00C47B5E" w:rsidP="00F37317">
            <w:pPr>
              <w:jc w:val="center"/>
              <w:rPr>
                <w:sz w:val="22"/>
              </w:rPr>
            </w:pPr>
            <w:r>
              <w:rPr>
                <w:sz w:val="22"/>
              </w:rPr>
              <w:t>M</w:t>
            </w:r>
          </w:p>
        </w:tc>
        <w:tc>
          <w:tcPr>
            <w:tcW w:w="1170" w:type="dxa"/>
            <w:tcBorders>
              <w:left w:val="nil"/>
            </w:tcBorders>
          </w:tcPr>
          <w:p w14:paraId="7B112C8D" w14:textId="77777777" w:rsidR="00C47B5E" w:rsidRDefault="00C47B5E" w:rsidP="00F37317">
            <w:pPr>
              <w:jc w:val="both"/>
            </w:pPr>
          </w:p>
        </w:tc>
      </w:tr>
      <w:tr w:rsidR="00C47B5E" w14:paraId="42691CEA" w14:textId="77777777" w:rsidTr="00F37317">
        <w:trPr>
          <w:cantSplit/>
          <w:trHeight w:val="72"/>
        </w:trPr>
        <w:tc>
          <w:tcPr>
            <w:tcW w:w="1728" w:type="dxa"/>
            <w:vMerge/>
          </w:tcPr>
          <w:p w14:paraId="25F117EC"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2D2F6DC9" w14:textId="77777777" w:rsidR="00C47B5E" w:rsidRDefault="00C47B5E" w:rsidP="00F37317">
            <w:pPr>
              <w:jc w:val="both"/>
              <w:rPr>
                <w:sz w:val="22"/>
              </w:rPr>
            </w:pPr>
            <w:r>
              <w:rPr>
                <w:sz w:val="22"/>
              </w:rPr>
              <w:t>Uncollected Medicare (HI) amounts</w:t>
            </w:r>
          </w:p>
        </w:tc>
        <w:tc>
          <w:tcPr>
            <w:tcW w:w="1530" w:type="dxa"/>
            <w:tcBorders>
              <w:top w:val="single" w:sz="4" w:space="0" w:color="auto"/>
              <w:left w:val="single" w:sz="4" w:space="0" w:color="auto"/>
              <w:bottom w:val="single" w:sz="4" w:space="0" w:color="auto"/>
              <w:right w:val="single" w:sz="4" w:space="0" w:color="auto"/>
            </w:tcBorders>
          </w:tcPr>
          <w:p w14:paraId="0F938294" w14:textId="77777777" w:rsidR="00C47B5E" w:rsidRDefault="00C47B5E" w:rsidP="00F37317">
            <w:pPr>
              <w:jc w:val="center"/>
              <w:rPr>
                <w:sz w:val="22"/>
              </w:rPr>
            </w:pPr>
            <w:r>
              <w:rPr>
                <w:sz w:val="22"/>
              </w:rPr>
              <w:t>N</w:t>
            </w:r>
          </w:p>
        </w:tc>
        <w:tc>
          <w:tcPr>
            <w:tcW w:w="1170" w:type="dxa"/>
            <w:tcBorders>
              <w:left w:val="nil"/>
            </w:tcBorders>
          </w:tcPr>
          <w:p w14:paraId="290510FA" w14:textId="77777777" w:rsidR="00C47B5E" w:rsidRDefault="00C47B5E" w:rsidP="00F37317">
            <w:pPr>
              <w:jc w:val="both"/>
            </w:pPr>
          </w:p>
        </w:tc>
      </w:tr>
      <w:tr w:rsidR="006800C0" w14:paraId="04903C38" w14:textId="77777777" w:rsidTr="00F37317">
        <w:trPr>
          <w:cantSplit/>
          <w:trHeight w:val="72"/>
        </w:trPr>
        <w:tc>
          <w:tcPr>
            <w:tcW w:w="1728" w:type="dxa"/>
          </w:tcPr>
          <w:p w14:paraId="55870B88" w14:textId="77777777" w:rsidR="006800C0" w:rsidRDefault="006800C0"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38D24808" w14:textId="77777777" w:rsidR="006800C0" w:rsidRPr="000E076A" w:rsidRDefault="006800C0" w:rsidP="00F37317">
            <w:pPr>
              <w:jc w:val="both"/>
              <w:rPr>
                <w:sz w:val="22"/>
              </w:rPr>
            </w:pPr>
            <w:r w:rsidRPr="000E076A">
              <w:rPr>
                <w:sz w:val="22"/>
              </w:rPr>
              <w:t>Roth 403(b) amounts (Deduction 043)</w:t>
            </w:r>
          </w:p>
        </w:tc>
        <w:tc>
          <w:tcPr>
            <w:tcW w:w="1530" w:type="dxa"/>
            <w:tcBorders>
              <w:top w:val="single" w:sz="4" w:space="0" w:color="auto"/>
              <w:left w:val="single" w:sz="4" w:space="0" w:color="auto"/>
              <w:bottom w:val="single" w:sz="4" w:space="0" w:color="auto"/>
              <w:right w:val="single" w:sz="4" w:space="0" w:color="auto"/>
            </w:tcBorders>
          </w:tcPr>
          <w:p w14:paraId="76223CC2" w14:textId="77777777" w:rsidR="006800C0" w:rsidRPr="000E076A" w:rsidRDefault="006800C0" w:rsidP="00F37317">
            <w:pPr>
              <w:jc w:val="center"/>
              <w:rPr>
                <w:sz w:val="22"/>
              </w:rPr>
            </w:pPr>
            <w:r w:rsidRPr="000E076A">
              <w:rPr>
                <w:sz w:val="22"/>
              </w:rPr>
              <w:t>BB</w:t>
            </w:r>
          </w:p>
        </w:tc>
        <w:tc>
          <w:tcPr>
            <w:tcW w:w="1170" w:type="dxa"/>
            <w:tcBorders>
              <w:left w:val="nil"/>
            </w:tcBorders>
          </w:tcPr>
          <w:p w14:paraId="1A81E739" w14:textId="77777777" w:rsidR="006800C0" w:rsidRDefault="006800C0" w:rsidP="00F37317">
            <w:pPr>
              <w:jc w:val="both"/>
            </w:pPr>
          </w:p>
        </w:tc>
      </w:tr>
      <w:tr w:rsidR="00C47B5E" w14:paraId="3778FBD4" w14:textId="77777777" w:rsidTr="00F37317">
        <w:trPr>
          <w:cantSplit/>
          <w:trHeight w:val="72"/>
        </w:trPr>
        <w:tc>
          <w:tcPr>
            <w:tcW w:w="1728" w:type="dxa"/>
          </w:tcPr>
          <w:p w14:paraId="2C62E0E6" w14:textId="77777777" w:rsidR="00C47B5E" w:rsidRDefault="00C47B5E"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685AA601" w14:textId="77777777" w:rsidR="00C47B5E" w:rsidRPr="000E076A" w:rsidRDefault="00C47B5E" w:rsidP="00F37317">
            <w:pPr>
              <w:jc w:val="both"/>
              <w:rPr>
                <w:sz w:val="22"/>
              </w:rPr>
            </w:pPr>
            <w:r w:rsidRPr="000E076A">
              <w:rPr>
                <w:sz w:val="22"/>
              </w:rPr>
              <w:t>Cost of employer-sponsored health coverage</w:t>
            </w:r>
          </w:p>
        </w:tc>
        <w:tc>
          <w:tcPr>
            <w:tcW w:w="1530" w:type="dxa"/>
            <w:tcBorders>
              <w:top w:val="single" w:sz="4" w:space="0" w:color="auto"/>
              <w:left w:val="single" w:sz="4" w:space="0" w:color="auto"/>
              <w:bottom w:val="single" w:sz="4" w:space="0" w:color="auto"/>
              <w:right w:val="single" w:sz="4" w:space="0" w:color="auto"/>
            </w:tcBorders>
          </w:tcPr>
          <w:p w14:paraId="789F5505" w14:textId="77777777" w:rsidR="00C47B5E" w:rsidRPr="000E076A" w:rsidRDefault="00C47B5E" w:rsidP="00F37317">
            <w:pPr>
              <w:jc w:val="center"/>
              <w:rPr>
                <w:sz w:val="22"/>
              </w:rPr>
            </w:pPr>
            <w:r w:rsidRPr="000E076A">
              <w:rPr>
                <w:sz w:val="22"/>
              </w:rPr>
              <w:t>DD</w:t>
            </w:r>
          </w:p>
        </w:tc>
        <w:tc>
          <w:tcPr>
            <w:tcW w:w="1170" w:type="dxa"/>
            <w:tcBorders>
              <w:left w:val="nil"/>
            </w:tcBorders>
          </w:tcPr>
          <w:p w14:paraId="138D86CC" w14:textId="77777777" w:rsidR="00C47B5E" w:rsidRDefault="00C47B5E" w:rsidP="00F37317">
            <w:pPr>
              <w:jc w:val="both"/>
            </w:pPr>
          </w:p>
        </w:tc>
      </w:tr>
      <w:tr w:rsidR="006800C0" w14:paraId="4D1C5E94" w14:textId="77777777" w:rsidTr="00F37317">
        <w:trPr>
          <w:cantSplit/>
          <w:trHeight w:val="72"/>
        </w:trPr>
        <w:tc>
          <w:tcPr>
            <w:tcW w:w="1728" w:type="dxa"/>
          </w:tcPr>
          <w:p w14:paraId="3761C4F0" w14:textId="77777777" w:rsidR="006800C0" w:rsidRDefault="006800C0" w:rsidP="00F37317">
            <w:pPr>
              <w:pStyle w:val="Heading5"/>
            </w:pPr>
          </w:p>
        </w:tc>
        <w:tc>
          <w:tcPr>
            <w:tcW w:w="5760" w:type="dxa"/>
            <w:tcBorders>
              <w:top w:val="single" w:sz="4" w:space="0" w:color="auto"/>
              <w:left w:val="single" w:sz="4" w:space="0" w:color="auto"/>
              <w:bottom w:val="single" w:sz="4" w:space="0" w:color="auto"/>
              <w:right w:val="single" w:sz="4" w:space="0" w:color="auto"/>
            </w:tcBorders>
          </w:tcPr>
          <w:p w14:paraId="3CCD0B9F" w14:textId="77777777" w:rsidR="006800C0" w:rsidRPr="000E076A" w:rsidRDefault="006800C0" w:rsidP="00F37317">
            <w:pPr>
              <w:jc w:val="both"/>
              <w:rPr>
                <w:sz w:val="22"/>
              </w:rPr>
            </w:pPr>
            <w:r w:rsidRPr="000E076A">
              <w:rPr>
                <w:sz w:val="22"/>
              </w:rPr>
              <w:t>Roth 457 amounts (Deduction 052)</w:t>
            </w:r>
          </w:p>
        </w:tc>
        <w:tc>
          <w:tcPr>
            <w:tcW w:w="1530" w:type="dxa"/>
            <w:tcBorders>
              <w:top w:val="single" w:sz="4" w:space="0" w:color="auto"/>
              <w:left w:val="single" w:sz="4" w:space="0" w:color="auto"/>
              <w:bottom w:val="single" w:sz="4" w:space="0" w:color="auto"/>
              <w:right w:val="single" w:sz="4" w:space="0" w:color="auto"/>
            </w:tcBorders>
          </w:tcPr>
          <w:p w14:paraId="2143A3D6" w14:textId="77777777" w:rsidR="006800C0" w:rsidRPr="000E076A" w:rsidRDefault="006800C0" w:rsidP="00F37317">
            <w:pPr>
              <w:jc w:val="center"/>
              <w:rPr>
                <w:sz w:val="22"/>
              </w:rPr>
            </w:pPr>
            <w:r w:rsidRPr="000E076A">
              <w:rPr>
                <w:sz w:val="22"/>
              </w:rPr>
              <w:t>EE</w:t>
            </w:r>
          </w:p>
        </w:tc>
        <w:tc>
          <w:tcPr>
            <w:tcW w:w="1170" w:type="dxa"/>
            <w:tcBorders>
              <w:left w:val="nil"/>
            </w:tcBorders>
          </w:tcPr>
          <w:p w14:paraId="3AF110C0" w14:textId="77777777" w:rsidR="006800C0" w:rsidRDefault="006800C0" w:rsidP="00F37317">
            <w:pPr>
              <w:jc w:val="both"/>
            </w:pPr>
          </w:p>
        </w:tc>
      </w:tr>
      <w:tr w:rsidR="00C47B5E" w14:paraId="1F96D40A" w14:textId="77777777" w:rsidTr="00F37317">
        <w:trPr>
          <w:cantSplit/>
          <w:trHeight w:val="72"/>
        </w:trPr>
        <w:tc>
          <w:tcPr>
            <w:tcW w:w="1728" w:type="dxa"/>
          </w:tcPr>
          <w:p w14:paraId="546542E2" w14:textId="77777777" w:rsidR="00C47B5E" w:rsidRDefault="00C47B5E" w:rsidP="00F37317">
            <w:pPr>
              <w:pStyle w:val="Heading5"/>
            </w:pPr>
          </w:p>
        </w:tc>
        <w:tc>
          <w:tcPr>
            <w:tcW w:w="7290" w:type="dxa"/>
            <w:gridSpan w:val="2"/>
            <w:tcBorders>
              <w:top w:val="single" w:sz="4" w:space="0" w:color="auto"/>
            </w:tcBorders>
          </w:tcPr>
          <w:p w14:paraId="4BC3C040" w14:textId="77777777" w:rsidR="00C47B5E" w:rsidRDefault="00C47B5E" w:rsidP="00F37317">
            <w:pPr>
              <w:rPr>
                <w:sz w:val="22"/>
              </w:rPr>
            </w:pPr>
          </w:p>
          <w:p w14:paraId="2FB34386" w14:textId="77777777" w:rsidR="00C47B5E" w:rsidRDefault="00C47B5E" w:rsidP="00F37317">
            <w:pPr>
              <w:rPr>
                <w:sz w:val="22"/>
              </w:rPr>
            </w:pPr>
            <w:r>
              <w:rPr>
                <w:sz w:val="22"/>
              </w:rPr>
              <w:t>Please note:  Employee-paid member contributions (401(a)(17) plan) are not reported on the W-2.</w:t>
            </w:r>
          </w:p>
        </w:tc>
        <w:tc>
          <w:tcPr>
            <w:tcW w:w="1170" w:type="dxa"/>
            <w:tcBorders>
              <w:left w:val="nil"/>
            </w:tcBorders>
          </w:tcPr>
          <w:p w14:paraId="0B323137" w14:textId="77777777" w:rsidR="00C47B5E" w:rsidRDefault="00C47B5E" w:rsidP="00F37317">
            <w:pPr>
              <w:jc w:val="both"/>
            </w:pPr>
          </w:p>
        </w:tc>
      </w:tr>
    </w:tbl>
    <w:p w14:paraId="78513AED" w14:textId="77777777" w:rsidR="00C47B5E" w:rsidRPr="00C47B5E" w:rsidRDefault="00C47B5E" w:rsidP="00C47B5E">
      <w:pPr>
        <w:pStyle w:val="BlockLine"/>
        <w:rPr>
          <w:sz w:val="16"/>
          <w:szCs w:val="16"/>
        </w:rPr>
      </w:pPr>
      <w:r>
        <w:t xml:space="preserve">  </w:t>
      </w:r>
    </w:p>
    <w:tbl>
      <w:tblPr>
        <w:tblW w:w="0" w:type="auto"/>
        <w:tblLayout w:type="fixed"/>
        <w:tblLook w:val="0000" w:firstRow="0" w:lastRow="0" w:firstColumn="0" w:lastColumn="0" w:noHBand="0" w:noVBand="0"/>
      </w:tblPr>
      <w:tblGrid>
        <w:gridCol w:w="1728"/>
        <w:gridCol w:w="8460"/>
      </w:tblGrid>
      <w:tr w:rsidR="00C47B5E" w14:paraId="071C095D" w14:textId="77777777" w:rsidTr="00F37317">
        <w:trPr>
          <w:cantSplit/>
        </w:trPr>
        <w:tc>
          <w:tcPr>
            <w:tcW w:w="1728" w:type="dxa"/>
          </w:tcPr>
          <w:p w14:paraId="5F4E983F" w14:textId="77777777" w:rsidR="00C47B5E" w:rsidRPr="00E721B2" w:rsidRDefault="00C47B5E" w:rsidP="00F37317">
            <w:pPr>
              <w:pStyle w:val="Heading5"/>
              <w:rPr>
                <w:sz w:val="24"/>
                <w:szCs w:val="24"/>
              </w:rPr>
            </w:pPr>
            <w:r>
              <w:rPr>
                <w:sz w:val="24"/>
                <w:szCs w:val="24"/>
              </w:rPr>
              <w:t>Health Insurance Reporting</w:t>
            </w:r>
          </w:p>
        </w:tc>
        <w:tc>
          <w:tcPr>
            <w:tcW w:w="8460" w:type="dxa"/>
          </w:tcPr>
          <w:p w14:paraId="6533965B" w14:textId="2A5708FA" w:rsidR="00C47B5E" w:rsidRPr="00F32921" w:rsidRDefault="00C47B5E" w:rsidP="00DB0203">
            <w:pPr>
              <w:jc w:val="both"/>
              <w:rPr>
                <w:sz w:val="22"/>
                <w:szCs w:val="22"/>
              </w:rPr>
            </w:pPr>
            <w:r>
              <w:rPr>
                <w:sz w:val="22"/>
                <w:szCs w:val="22"/>
              </w:rPr>
              <w:t xml:space="preserve">DHRM Office of Health Benefits will provide DOA with the amount of health care costs to be reported on the W-2s for calendar year </w:t>
            </w:r>
            <w:r w:rsidR="00DA50E6">
              <w:rPr>
                <w:sz w:val="22"/>
                <w:szCs w:val="22"/>
              </w:rPr>
              <w:t>2021</w:t>
            </w:r>
            <w:r>
              <w:rPr>
                <w:sz w:val="22"/>
                <w:szCs w:val="22"/>
              </w:rPr>
              <w:t>.  This amount will be reflected in Box 12 with a code of DD.</w:t>
            </w:r>
            <w:r w:rsidR="00E0352D">
              <w:rPr>
                <w:sz w:val="22"/>
                <w:szCs w:val="22"/>
              </w:rPr>
              <w:t xml:space="preserve">  DHRM will issue all 1094 and 1095 reports </w:t>
            </w:r>
            <w:r w:rsidR="00DB0203">
              <w:rPr>
                <w:sz w:val="22"/>
                <w:szCs w:val="22"/>
              </w:rPr>
              <w:t xml:space="preserve">as </w:t>
            </w:r>
            <w:r w:rsidR="00E0352D">
              <w:rPr>
                <w:sz w:val="22"/>
                <w:szCs w:val="22"/>
              </w:rPr>
              <w:t xml:space="preserve">required </w:t>
            </w:r>
            <w:r w:rsidR="00DB0203">
              <w:rPr>
                <w:sz w:val="22"/>
                <w:szCs w:val="22"/>
              </w:rPr>
              <w:t>by the IRS</w:t>
            </w:r>
            <w:r w:rsidR="00E0352D">
              <w:rPr>
                <w:sz w:val="22"/>
                <w:szCs w:val="22"/>
              </w:rPr>
              <w:t>.</w:t>
            </w:r>
          </w:p>
        </w:tc>
      </w:tr>
    </w:tbl>
    <w:p w14:paraId="599FE244" w14:textId="77777777" w:rsidR="00C47B5E" w:rsidRPr="003B24E3" w:rsidRDefault="00C47B5E" w:rsidP="00C47B5E">
      <w:pPr>
        <w:rPr>
          <w:sz w:val="20"/>
        </w:rPr>
      </w:pPr>
    </w:p>
    <w:p w14:paraId="65B82E5B" w14:textId="77777777" w:rsidR="00C47B5E" w:rsidRPr="003B24E3" w:rsidRDefault="00C47B5E" w:rsidP="00C47B5E">
      <w:pPr>
        <w:pStyle w:val="ContinuedOnNextPa"/>
        <w:outlineLvl w:val="0"/>
      </w:pPr>
      <w:r w:rsidRPr="003B24E3">
        <w:t>Continued on next page</w:t>
      </w:r>
    </w:p>
    <w:p w14:paraId="65D74939" w14:textId="77777777" w:rsidR="00C47B5E" w:rsidRDefault="00C47B5E" w:rsidP="00C47B5E"/>
    <w:p w14:paraId="0F210CB1" w14:textId="77777777" w:rsidR="00105E97" w:rsidRPr="002024B2" w:rsidRDefault="007C6616" w:rsidP="00904868">
      <w:pPr>
        <w:pStyle w:val="MapTitleContinued"/>
        <w:spacing w:after="120"/>
        <w:outlineLvl w:val="0"/>
        <w:rPr>
          <w:rFonts w:ascii="Times New Roman" w:hAnsi="Times New Roman"/>
          <w:b w:val="0"/>
          <w:sz w:val="24"/>
        </w:rPr>
      </w:pPr>
      <w:r>
        <w:br w:type="page"/>
      </w:r>
      <w:r w:rsidR="00105E97" w:rsidRPr="002024B2">
        <w:rPr>
          <w:rFonts w:ascii="Times New Roman" w:hAnsi="Times New Roman"/>
          <w:sz w:val="28"/>
          <w:szCs w:val="28"/>
        </w:rPr>
        <w:t>W-2 Forms,</w:t>
      </w:r>
      <w:r w:rsidR="00105E97" w:rsidRPr="002024B2">
        <w:rPr>
          <w:rFonts w:ascii="Times New Roman" w:hAnsi="Times New Roman"/>
        </w:rPr>
        <w:t xml:space="preserve"> </w:t>
      </w:r>
      <w:r w:rsidR="00105E97" w:rsidRPr="002024B2">
        <w:rPr>
          <w:rFonts w:ascii="Times New Roman" w:hAnsi="Times New Roman"/>
          <w:b w:val="0"/>
          <w:sz w:val="24"/>
          <w:szCs w:val="24"/>
        </w:rPr>
        <w:t>continued</w:t>
      </w:r>
    </w:p>
    <w:p w14:paraId="01F094E2" w14:textId="77777777" w:rsidR="00105E97" w:rsidRPr="00105E97" w:rsidRDefault="00105E97" w:rsidP="00904868">
      <w:pPr>
        <w:pStyle w:val="BlockLine"/>
        <w:spacing w:before="0"/>
        <w:ind w:left="1699"/>
        <w:rPr>
          <w:sz w:val="16"/>
          <w:szCs w:val="16"/>
        </w:rPr>
      </w:pPr>
    </w:p>
    <w:tbl>
      <w:tblPr>
        <w:tblW w:w="0" w:type="auto"/>
        <w:tblLayout w:type="fixed"/>
        <w:tblLook w:val="0000" w:firstRow="0" w:lastRow="0" w:firstColumn="0" w:lastColumn="0" w:noHBand="0" w:noVBand="0"/>
      </w:tblPr>
      <w:tblGrid>
        <w:gridCol w:w="1728"/>
        <w:gridCol w:w="720"/>
        <w:gridCol w:w="2340"/>
        <w:gridCol w:w="5400"/>
      </w:tblGrid>
      <w:tr w:rsidR="00EA0362" w14:paraId="7454F50B" w14:textId="77777777" w:rsidTr="00FB2144">
        <w:trPr>
          <w:cantSplit/>
        </w:trPr>
        <w:tc>
          <w:tcPr>
            <w:tcW w:w="1728" w:type="dxa"/>
          </w:tcPr>
          <w:p w14:paraId="058C4685" w14:textId="77777777" w:rsidR="00EA0362" w:rsidRPr="008B65CD" w:rsidRDefault="00EA0362">
            <w:pPr>
              <w:pStyle w:val="Heading5"/>
              <w:rPr>
                <w:sz w:val="24"/>
                <w:szCs w:val="24"/>
              </w:rPr>
            </w:pPr>
            <w:r w:rsidRPr="008B65CD">
              <w:rPr>
                <w:sz w:val="24"/>
                <w:szCs w:val="24"/>
              </w:rPr>
              <w:t>W-2 Form Content Descriptions</w:t>
            </w:r>
          </w:p>
        </w:tc>
        <w:tc>
          <w:tcPr>
            <w:tcW w:w="8460" w:type="dxa"/>
            <w:gridSpan w:val="3"/>
          </w:tcPr>
          <w:p w14:paraId="717A1A6E" w14:textId="77777777" w:rsidR="00EA0362" w:rsidRPr="008B65CD" w:rsidRDefault="00EA0362">
            <w:pPr>
              <w:pStyle w:val="BlockText"/>
              <w:rPr>
                <w:sz w:val="22"/>
                <w:szCs w:val="22"/>
              </w:rPr>
            </w:pPr>
            <w:r w:rsidRPr="008B65CD">
              <w:rPr>
                <w:sz w:val="22"/>
                <w:szCs w:val="22"/>
              </w:rPr>
              <w:t>This list identifies the coding in all boxes included on an employee’s W-2 form and provides a description.</w:t>
            </w:r>
          </w:p>
        </w:tc>
      </w:tr>
      <w:tr w:rsidR="00EA0362" w14:paraId="110FEBFB"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7A49AB17" w14:textId="77777777" w:rsidR="00EA0362" w:rsidRDefault="00EA0362">
            <w:pPr>
              <w:jc w:val="center"/>
              <w:rPr>
                <w:b/>
                <w:sz w:val="22"/>
              </w:rPr>
            </w:pPr>
            <w:r>
              <w:rPr>
                <w:b/>
                <w:sz w:val="22"/>
              </w:rPr>
              <w:t>Field</w:t>
            </w:r>
          </w:p>
        </w:tc>
        <w:tc>
          <w:tcPr>
            <w:tcW w:w="2340" w:type="dxa"/>
          </w:tcPr>
          <w:p w14:paraId="77359A8C" w14:textId="77777777" w:rsidR="00EA0362" w:rsidRDefault="00EA0362">
            <w:pPr>
              <w:jc w:val="center"/>
              <w:rPr>
                <w:b/>
                <w:sz w:val="22"/>
              </w:rPr>
            </w:pPr>
            <w:r>
              <w:rPr>
                <w:b/>
                <w:sz w:val="22"/>
              </w:rPr>
              <w:t>Title</w:t>
            </w:r>
          </w:p>
        </w:tc>
        <w:tc>
          <w:tcPr>
            <w:tcW w:w="5400" w:type="dxa"/>
          </w:tcPr>
          <w:p w14:paraId="5E76DD2D" w14:textId="77777777" w:rsidR="00EA0362" w:rsidRDefault="00EA0362">
            <w:pPr>
              <w:jc w:val="center"/>
              <w:rPr>
                <w:b/>
                <w:sz w:val="22"/>
              </w:rPr>
            </w:pPr>
            <w:r>
              <w:rPr>
                <w:b/>
                <w:sz w:val="22"/>
              </w:rPr>
              <w:t>Description</w:t>
            </w:r>
          </w:p>
        </w:tc>
      </w:tr>
      <w:tr w:rsidR="00EA0362" w14:paraId="4A9450F8"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2ADCAD7D" w14:textId="77777777" w:rsidR="00EA0362" w:rsidRDefault="00EA0362">
            <w:pPr>
              <w:jc w:val="center"/>
              <w:rPr>
                <w:sz w:val="22"/>
              </w:rPr>
            </w:pPr>
            <w:r>
              <w:rPr>
                <w:sz w:val="22"/>
              </w:rPr>
              <w:t>a</w:t>
            </w:r>
          </w:p>
        </w:tc>
        <w:tc>
          <w:tcPr>
            <w:tcW w:w="2340" w:type="dxa"/>
          </w:tcPr>
          <w:p w14:paraId="6EF85BD0" w14:textId="77777777" w:rsidR="00EA0362" w:rsidRDefault="001E381E">
            <w:pPr>
              <w:rPr>
                <w:sz w:val="16"/>
              </w:rPr>
            </w:pPr>
            <w:r>
              <w:rPr>
                <w:sz w:val="22"/>
              </w:rPr>
              <w:t>Employee's social security number</w:t>
            </w:r>
          </w:p>
        </w:tc>
        <w:tc>
          <w:tcPr>
            <w:tcW w:w="5400" w:type="dxa"/>
          </w:tcPr>
          <w:p w14:paraId="48E73EBC" w14:textId="77777777" w:rsidR="001E381E" w:rsidRDefault="001E381E" w:rsidP="001E381E">
            <w:pPr>
              <w:rPr>
                <w:sz w:val="22"/>
              </w:rPr>
            </w:pPr>
            <w:r>
              <w:rPr>
                <w:sz w:val="22"/>
              </w:rPr>
              <w:t>Self-explanatory.</w:t>
            </w:r>
          </w:p>
          <w:p w14:paraId="6A5E9C05" w14:textId="77777777" w:rsidR="00EA0362" w:rsidRDefault="00EA0362">
            <w:pPr>
              <w:rPr>
                <w:sz w:val="16"/>
              </w:rPr>
            </w:pPr>
          </w:p>
        </w:tc>
      </w:tr>
      <w:tr w:rsidR="00EA0362" w14:paraId="5D46CD92"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36F31C2D" w14:textId="77777777" w:rsidR="00EA0362" w:rsidRDefault="00EA0362">
            <w:pPr>
              <w:jc w:val="center"/>
              <w:rPr>
                <w:sz w:val="22"/>
              </w:rPr>
            </w:pPr>
            <w:r>
              <w:rPr>
                <w:sz w:val="22"/>
              </w:rPr>
              <w:t>b</w:t>
            </w:r>
          </w:p>
        </w:tc>
        <w:tc>
          <w:tcPr>
            <w:tcW w:w="2340" w:type="dxa"/>
          </w:tcPr>
          <w:p w14:paraId="278CBB46" w14:textId="77777777" w:rsidR="00EA0362" w:rsidRDefault="00EA0362">
            <w:pPr>
              <w:rPr>
                <w:sz w:val="16"/>
              </w:rPr>
            </w:pPr>
            <w:r>
              <w:rPr>
                <w:sz w:val="22"/>
              </w:rPr>
              <w:t>Employer’s Identification Number</w:t>
            </w:r>
          </w:p>
        </w:tc>
        <w:tc>
          <w:tcPr>
            <w:tcW w:w="5400" w:type="dxa"/>
          </w:tcPr>
          <w:p w14:paraId="5CF9267F" w14:textId="77777777" w:rsidR="00EA0362" w:rsidRDefault="00EA0362">
            <w:pPr>
              <w:rPr>
                <w:sz w:val="16"/>
              </w:rPr>
            </w:pPr>
            <w:r>
              <w:rPr>
                <w:sz w:val="22"/>
              </w:rPr>
              <w:t>Employer's Federal Employer Identification Number (FEIN).</w:t>
            </w:r>
          </w:p>
        </w:tc>
      </w:tr>
      <w:tr w:rsidR="00EA0362" w14:paraId="6EE4E2B6"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0049486A" w14:textId="77777777" w:rsidR="00EA0362" w:rsidRDefault="00EA0362">
            <w:pPr>
              <w:jc w:val="center"/>
              <w:rPr>
                <w:sz w:val="22"/>
              </w:rPr>
            </w:pPr>
            <w:r>
              <w:rPr>
                <w:sz w:val="22"/>
              </w:rPr>
              <w:t>c</w:t>
            </w:r>
          </w:p>
        </w:tc>
        <w:tc>
          <w:tcPr>
            <w:tcW w:w="2340" w:type="dxa"/>
          </w:tcPr>
          <w:p w14:paraId="166BACFA" w14:textId="77777777" w:rsidR="00EA0362" w:rsidRDefault="00EA0362">
            <w:pPr>
              <w:rPr>
                <w:sz w:val="22"/>
              </w:rPr>
            </w:pPr>
            <w:r>
              <w:rPr>
                <w:sz w:val="22"/>
              </w:rPr>
              <w:t>Employer’s Name, Address, and Zip Code</w:t>
            </w:r>
          </w:p>
        </w:tc>
        <w:tc>
          <w:tcPr>
            <w:tcW w:w="5400" w:type="dxa"/>
            <w:shd w:val="clear" w:color="auto" w:fill="auto"/>
          </w:tcPr>
          <w:p w14:paraId="3BD7BB94" w14:textId="77777777" w:rsidR="00EA0362" w:rsidRDefault="00EA0362">
            <w:pPr>
              <w:rPr>
                <w:sz w:val="22"/>
              </w:rPr>
            </w:pPr>
            <w:r>
              <w:rPr>
                <w:sz w:val="22"/>
              </w:rPr>
              <w:t>Self-explanatory.</w:t>
            </w:r>
          </w:p>
          <w:p w14:paraId="5E43ECEB" w14:textId="77777777" w:rsidR="00EA0362" w:rsidRDefault="00EA0362">
            <w:pPr>
              <w:rPr>
                <w:sz w:val="16"/>
              </w:rPr>
            </w:pPr>
          </w:p>
        </w:tc>
      </w:tr>
      <w:tr w:rsidR="00EA0362" w14:paraId="6C86EA58"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5DDA5D2C" w14:textId="77777777" w:rsidR="00EA0362" w:rsidRDefault="00EA0362">
            <w:pPr>
              <w:jc w:val="center"/>
              <w:rPr>
                <w:sz w:val="22"/>
              </w:rPr>
            </w:pPr>
            <w:r>
              <w:rPr>
                <w:sz w:val="22"/>
              </w:rPr>
              <w:t>d</w:t>
            </w:r>
          </w:p>
        </w:tc>
        <w:tc>
          <w:tcPr>
            <w:tcW w:w="2340" w:type="dxa"/>
          </w:tcPr>
          <w:p w14:paraId="1D3540F8" w14:textId="77777777" w:rsidR="001E381E" w:rsidRDefault="001E381E">
            <w:pPr>
              <w:rPr>
                <w:sz w:val="22"/>
              </w:rPr>
            </w:pPr>
            <w:r>
              <w:rPr>
                <w:sz w:val="22"/>
              </w:rPr>
              <w:t>Control Number</w:t>
            </w:r>
          </w:p>
          <w:p w14:paraId="1F0A37B9" w14:textId="77777777" w:rsidR="00EA0362" w:rsidRDefault="00EA0362">
            <w:pPr>
              <w:rPr>
                <w:sz w:val="22"/>
              </w:rPr>
            </w:pPr>
          </w:p>
        </w:tc>
        <w:tc>
          <w:tcPr>
            <w:tcW w:w="5400" w:type="dxa"/>
            <w:shd w:val="clear" w:color="auto" w:fill="auto"/>
          </w:tcPr>
          <w:p w14:paraId="66086E93" w14:textId="77777777" w:rsidR="00EA0362" w:rsidRPr="007C6616" w:rsidRDefault="007C6616">
            <w:pPr>
              <w:rPr>
                <w:sz w:val="22"/>
                <w:szCs w:val="22"/>
              </w:rPr>
            </w:pPr>
            <w:r>
              <w:rPr>
                <w:sz w:val="22"/>
                <w:szCs w:val="22"/>
              </w:rPr>
              <w:t>Not u</w:t>
            </w:r>
            <w:r w:rsidRPr="007C6616">
              <w:rPr>
                <w:sz w:val="22"/>
                <w:szCs w:val="22"/>
              </w:rPr>
              <w:t>sed</w:t>
            </w:r>
          </w:p>
        </w:tc>
      </w:tr>
      <w:tr w:rsidR="00EA0362" w14:paraId="078FB6C1"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0ED93638" w14:textId="77777777" w:rsidR="00EA0362" w:rsidRDefault="00EA0362">
            <w:pPr>
              <w:jc w:val="center"/>
              <w:rPr>
                <w:sz w:val="22"/>
              </w:rPr>
            </w:pPr>
            <w:r>
              <w:rPr>
                <w:sz w:val="22"/>
              </w:rPr>
              <w:t>e &amp; f</w:t>
            </w:r>
          </w:p>
        </w:tc>
        <w:tc>
          <w:tcPr>
            <w:tcW w:w="2340" w:type="dxa"/>
          </w:tcPr>
          <w:p w14:paraId="3E01CCBF" w14:textId="77777777" w:rsidR="00EA0362" w:rsidRDefault="00EA0362">
            <w:pPr>
              <w:rPr>
                <w:sz w:val="22"/>
              </w:rPr>
            </w:pPr>
            <w:r>
              <w:rPr>
                <w:sz w:val="22"/>
              </w:rPr>
              <w:t>Employee's Identification Number, Organizational Code, Name, Address, and Zip Code</w:t>
            </w:r>
          </w:p>
        </w:tc>
        <w:tc>
          <w:tcPr>
            <w:tcW w:w="5400" w:type="dxa"/>
            <w:shd w:val="clear" w:color="auto" w:fill="auto"/>
          </w:tcPr>
          <w:p w14:paraId="6618A363" w14:textId="77777777" w:rsidR="001E381E" w:rsidRDefault="001E381E" w:rsidP="001E381E">
            <w:pPr>
              <w:rPr>
                <w:sz w:val="22"/>
              </w:rPr>
            </w:pPr>
            <w:r>
              <w:rPr>
                <w:sz w:val="22"/>
              </w:rPr>
              <w:t>Self-explanatory.</w:t>
            </w:r>
          </w:p>
          <w:p w14:paraId="5A40EB4C" w14:textId="77777777" w:rsidR="00EA0362" w:rsidRDefault="00EA0362">
            <w:pPr>
              <w:rPr>
                <w:sz w:val="22"/>
              </w:rPr>
            </w:pPr>
          </w:p>
        </w:tc>
      </w:tr>
      <w:tr w:rsidR="00EA0362" w14:paraId="3AEC982D"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2F62AC0F" w14:textId="77777777" w:rsidR="00EA0362" w:rsidRDefault="00EA0362">
            <w:pPr>
              <w:jc w:val="center"/>
              <w:rPr>
                <w:sz w:val="22"/>
              </w:rPr>
            </w:pPr>
            <w:r>
              <w:rPr>
                <w:sz w:val="22"/>
              </w:rPr>
              <w:t>1</w:t>
            </w:r>
          </w:p>
        </w:tc>
        <w:tc>
          <w:tcPr>
            <w:tcW w:w="2340" w:type="dxa"/>
          </w:tcPr>
          <w:p w14:paraId="776F79C9" w14:textId="77777777" w:rsidR="00EA0362" w:rsidRDefault="00EA0362">
            <w:pPr>
              <w:rPr>
                <w:sz w:val="22"/>
              </w:rPr>
            </w:pPr>
            <w:r>
              <w:rPr>
                <w:sz w:val="22"/>
              </w:rPr>
              <w:t>Wages, Tips, Other Compensation</w:t>
            </w:r>
          </w:p>
        </w:tc>
        <w:tc>
          <w:tcPr>
            <w:tcW w:w="5400" w:type="dxa"/>
          </w:tcPr>
          <w:p w14:paraId="0AA01905" w14:textId="77777777" w:rsidR="00EA0362" w:rsidRDefault="00EA0362">
            <w:pPr>
              <w:rPr>
                <w:sz w:val="16"/>
              </w:rPr>
            </w:pPr>
            <w:r>
              <w:rPr>
                <w:sz w:val="22"/>
              </w:rPr>
              <w:t>Sum of federal taxable plus federal nontaxable (reportable) wages.</w:t>
            </w:r>
          </w:p>
        </w:tc>
      </w:tr>
      <w:tr w:rsidR="00EA0362" w14:paraId="41169E9B"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2196DB81" w14:textId="77777777" w:rsidR="00EA0362" w:rsidRDefault="00EA0362">
            <w:pPr>
              <w:jc w:val="center"/>
              <w:rPr>
                <w:sz w:val="22"/>
              </w:rPr>
            </w:pPr>
            <w:r>
              <w:rPr>
                <w:sz w:val="22"/>
              </w:rPr>
              <w:t>2</w:t>
            </w:r>
          </w:p>
        </w:tc>
        <w:tc>
          <w:tcPr>
            <w:tcW w:w="2340" w:type="dxa"/>
          </w:tcPr>
          <w:p w14:paraId="336F9F95" w14:textId="77777777" w:rsidR="00EA0362" w:rsidRDefault="00EA0362">
            <w:pPr>
              <w:rPr>
                <w:sz w:val="22"/>
              </w:rPr>
            </w:pPr>
            <w:r>
              <w:rPr>
                <w:sz w:val="22"/>
              </w:rPr>
              <w:t>Federal Income Tax Withheld</w:t>
            </w:r>
          </w:p>
        </w:tc>
        <w:tc>
          <w:tcPr>
            <w:tcW w:w="5400" w:type="dxa"/>
          </w:tcPr>
          <w:p w14:paraId="5C49E80D" w14:textId="77777777" w:rsidR="00EA0362" w:rsidRDefault="00EA0362">
            <w:pPr>
              <w:rPr>
                <w:sz w:val="22"/>
              </w:rPr>
            </w:pPr>
            <w:r>
              <w:rPr>
                <w:sz w:val="22"/>
              </w:rPr>
              <w:t>Amount of Federal income tax withheld.</w:t>
            </w:r>
          </w:p>
          <w:p w14:paraId="1A581B28" w14:textId="77777777" w:rsidR="00EA0362" w:rsidRDefault="00EA0362">
            <w:pPr>
              <w:rPr>
                <w:sz w:val="16"/>
              </w:rPr>
            </w:pPr>
          </w:p>
        </w:tc>
      </w:tr>
      <w:tr w:rsidR="00EA0362" w14:paraId="5D07BE28"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1BCF6851" w14:textId="77777777" w:rsidR="00EA0362" w:rsidRDefault="00EA0362">
            <w:pPr>
              <w:jc w:val="center"/>
              <w:rPr>
                <w:sz w:val="22"/>
              </w:rPr>
            </w:pPr>
            <w:r>
              <w:rPr>
                <w:sz w:val="22"/>
              </w:rPr>
              <w:t>3</w:t>
            </w:r>
          </w:p>
        </w:tc>
        <w:tc>
          <w:tcPr>
            <w:tcW w:w="2340" w:type="dxa"/>
          </w:tcPr>
          <w:p w14:paraId="7EE1B441" w14:textId="77777777" w:rsidR="00EA0362" w:rsidRDefault="00EA0362">
            <w:pPr>
              <w:rPr>
                <w:sz w:val="22"/>
              </w:rPr>
            </w:pPr>
            <w:r>
              <w:rPr>
                <w:sz w:val="22"/>
              </w:rPr>
              <w:t>Social Security Wages</w:t>
            </w:r>
          </w:p>
        </w:tc>
        <w:tc>
          <w:tcPr>
            <w:tcW w:w="5400" w:type="dxa"/>
          </w:tcPr>
          <w:p w14:paraId="33CD10BC" w14:textId="77777777" w:rsidR="00EA0362" w:rsidRPr="000E076A" w:rsidRDefault="00EA0362" w:rsidP="00B37498">
            <w:pPr>
              <w:rPr>
                <w:sz w:val="16"/>
              </w:rPr>
            </w:pPr>
            <w:r w:rsidRPr="000E076A">
              <w:rPr>
                <w:sz w:val="22"/>
              </w:rPr>
              <w:t>Amount of OASDI taxable wages.  Maximum is $</w:t>
            </w:r>
            <w:r w:rsidR="00B37498">
              <w:rPr>
                <w:sz w:val="22"/>
              </w:rPr>
              <w:t>132,900.</w:t>
            </w:r>
          </w:p>
        </w:tc>
      </w:tr>
      <w:tr w:rsidR="00EA0362" w14:paraId="0FB50032"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0D16F7C6" w14:textId="77777777" w:rsidR="00EA0362" w:rsidRDefault="00EA0362">
            <w:pPr>
              <w:jc w:val="center"/>
              <w:rPr>
                <w:sz w:val="22"/>
              </w:rPr>
            </w:pPr>
            <w:r>
              <w:rPr>
                <w:sz w:val="22"/>
              </w:rPr>
              <w:t>4</w:t>
            </w:r>
          </w:p>
        </w:tc>
        <w:tc>
          <w:tcPr>
            <w:tcW w:w="2340" w:type="dxa"/>
          </w:tcPr>
          <w:p w14:paraId="452C2858" w14:textId="77777777" w:rsidR="00EA0362" w:rsidRDefault="00EA0362">
            <w:pPr>
              <w:pStyle w:val="BlockText"/>
              <w:rPr>
                <w:sz w:val="22"/>
              </w:rPr>
            </w:pPr>
            <w:r>
              <w:rPr>
                <w:sz w:val="22"/>
              </w:rPr>
              <w:t>Social Security Tax Withheld</w:t>
            </w:r>
          </w:p>
        </w:tc>
        <w:tc>
          <w:tcPr>
            <w:tcW w:w="5400" w:type="dxa"/>
          </w:tcPr>
          <w:p w14:paraId="4A148166" w14:textId="77777777" w:rsidR="00EA0362" w:rsidRPr="000E076A" w:rsidRDefault="00EA0362" w:rsidP="00B37498">
            <w:pPr>
              <w:pStyle w:val="BlockText"/>
              <w:rPr>
                <w:sz w:val="22"/>
              </w:rPr>
            </w:pPr>
            <w:r w:rsidRPr="000E076A">
              <w:rPr>
                <w:sz w:val="22"/>
              </w:rPr>
              <w:t>Amount of OASDI tax withheld.  Maximum is $</w:t>
            </w:r>
            <w:r w:rsidR="00B37498">
              <w:rPr>
                <w:sz w:val="22"/>
              </w:rPr>
              <w:t>8,239.80</w:t>
            </w:r>
          </w:p>
        </w:tc>
      </w:tr>
      <w:tr w:rsidR="00EA0362" w14:paraId="47B1B921"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2DD54559" w14:textId="77777777" w:rsidR="00EA0362" w:rsidRDefault="00EA0362">
            <w:pPr>
              <w:jc w:val="center"/>
              <w:rPr>
                <w:sz w:val="22"/>
              </w:rPr>
            </w:pPr>
            <w:r>
              <w:rPr>
                <w:sz w:val="22"/>
              </w:rPr>
              <w:t>5</w:t>
            </w:r>
          </w:p>
        </w:tc>
        <w:tc>
          <w:tcPr>
            <w:tcW w:w="2340" w:type="dxa"/>
          </w:tcPr>
          <w:p w14:paraId="69D2303C" w14:textId="77777777" w:rsidR="00EA0362" w:rsidRDefault="00EA0362">
            <w:pPr>
              <w:pStyle w:val="BlockText"/>
              <w:rPr>
                <w:sz w:val="22"/>
              </w:rPr>
            </w:pPr>
            <w:r>
              <w:rPr>
                <w:sz w:val="22"/>
              </w:rPr>
              <w:t>Medicare Wages and Tips</w:t>
            </w:r>
          </w:p>
        </w:tc>
        <w:tc>
          <w:tcPr>
            <w:tcW w:w="5400" w:type="dxa"/>
          </w:tcPr>
          <w:p w14:paraId="3F9163E2" w14:textId="77777777" w:rsidR="00EA0362" w:rsidRDefault="00EA0362">
            <w:pPr>
              <w:tabs>
                <w:tab w:val="left" w:pos="1080"/>
                <w:tab w:val="left" w:pos="3600"/>
              </w:tabs>
              <w:ind w:left="3600" w:hanging="3600"/>
              <w:rPr>
                <w:sz w:val="22"/>
              </w:rPr>
            </w:pPr>
            <w:r>
              <w:rPr>
                <w:sz w:val="22"/>
              </w:rPr>
              <w:t>Amount of HI or Medicare taxable wages.</w:t>
            </w:r>
          </w:p>
        </w:tc>
      </w:tr>
      <w:tr w:rsidR="00EA0362" w14:paraId="19D982A3"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081813A3" w14:textId="77777777" w:rsidR="00EA0362" w:rsidRDefault="00EA0362">
            <w:pPr>
              <w:jc w:val="center"/>
              <w:rPr>
                <w:sz w:val="22"/>
              </w:rPr>
            </w:pPr>
            <w:r>
              <w:rPr>
                <w:sz w:val="22"/>
              </w:rPr>
              <w:t>6</w:t>
            </w:r>
          </w:p>
        </w:tc>
        <w:tc>
          <w:tcPr>
            <w:tcW w:w="2340" w:type="dxa"/>
          </w:tcPr>
          <w:p w14:paraId="1EB6163B" w14:textId="77777777" w:rsidR="00EA0362" w:rsidRDefault="00EA0362">
            <w:pPr>
              <w:pStyle w:val="BlockText"/>
              <w:rPr>
                <w:sz w:val="22"/>
              </w:rPr>
            </w:pPr>
            <w:r>
              <w:rPr>
                <w:sz w:val="22"/>
              </w:rPr>
              <w:t>Medicare Tax Withheld</w:t>
            </w:r>
          </w:p>
        </w:tc>
        <w:tc>
          <w:tcPr>
            <w:tcW w:w="5400" w:type="dxa"/>
          </w:tcPr>
          <w:p w14:paraId="4A7F89E2" w14:textId="77777777" w:rsidR="00EA0362" w:rsidRDefault="00EA0362">
            <w:pPr>
              <w:pStyle w:val="BlockText"/>
              <w:rPr>
                <w:sz w:val="22"/>
              </w:rPr>
            </w:pPr>
            <w:r>
              <w:rPr>
                <w:sz w:val="22"/>
              </w:rPr>
              <w:t>Amount of HI or Medicare tax withheld.</w:t>
            </w:r>
          </w:p>
        </w:tc>
      </w:tr>
      <w:tr w:rsidR="00EA0362" w14:paraId="6288367E"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48757165" w14:textId="77777777" w:rsidR="00EA0362" w:rsidRDefault="00EA0362">
            <w:pPr>
              <w:jc w:val="center"/>
              <w:rPr>
                <w:sz w:val="22"/>
              </w:rPr>
            </w:pPr>
            <w:r>
              <w:rPr>
                <w:sz w:val="22"/>
              </w:rPr>
              <w:t>7</w:t>
            </w:r>
          </w:p>
        </w:tc>
        <w:tc>
          <w:tcPr>
            <w:tcW w:w="2340" w:type="dxa"/>
          </w:tcPr>
          <w:p w14:paraId="5C8C02C9" w14:textId="77777777" w:rsidR="00EA0362" w:rsidRDefault="00EA0362">
            <w:pPr>
              <w:pStyle w:val="BlockText"/>
              <w:rPr>
                <w:sz w:val="22"/>
              </w:rPr>
            </w:pPr>
            <w:r>
              <w:rPr>
                <w:sz w:val="22"/>
              </w:rPr>
              <w:t>Social Security Tips</w:t>
            </w:r>
          </w:p>
        </w:tc>
        <w:tc>
          <w:tcPr>
            <w:tcW w:w="5400" w:type="dxa"/>
          </w:tcPr>
          <w:p w14:paraId="0253C3B9" w14:textId="77777777" w:rsidR="00EA0362" w:rsidRDefault="00921616">
            <w:pPr>
              <w:pStyle w:val="BlockText"/>
              <w:rPr>
                <w:sz w:val="22"/>
              </w:rPr>
            </w:pPr>
            <w:r>
              <w:rPr>
                <w:sz w:val="22"/>
              </w:rPr>
              <w:t>Tips subject to OASDI tax</w:t>
            </w:r>
            <w:r w:rsidR="00EA0362">
              <w:rPr>
                <w:sz w:val="22"/>
              </w:rPr>
              <w:t xml:space="preserve">. </w:t>
            </w:r>
          </w:p>
        </w:tc>
      </w:tr>
      <w:tr w:rsidR="00EA0362" w14:paraId="4A0BE50F"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1E9F7903" w14:textId="77777777" w:rsidR="00EA0362" w:rsidRDefault="00EA0362">
            <w:pPr>
              <w:jc w:val="center"/>
              <w:rPr>
                <w:sz w:val="22"/>
              </w:rPr>
            </w:pPr>
            <w:r>
              <w:rPr>
                <w:sz w:val="22"/>
              </w:rPr>
              <w:t>8</w:t>
            </w:r>
          </w:p>
        </w:tc>
        <w:tc>
          <w:tcPr>
            <w:tcW w:w="2340" w:type="dxa"/>
          </w:tcPr>
          <w:p w14:paraId="66F22E85" w14:textId="77777777" w:rsidR="00EA0362" w:rsidRDefault="00EA0362">
            <w:pPr>
              <w:pStyle w:val="BlockText"/>
              <w:rPr>
                <w:sz w:val="22"/>
              </w:rPr>
            </w:pPr>
            <w:r>
              <w:rPr>
                <w:sz w:val="22"/>
              </w:rPr>
              <w:t>Allocated Tips</w:t>
            </w:r>
          </w:p>
        </w:tc>
        <w:tc>
          <w:tcPr>
            <w:tcW w:w="5400" w:type="dxa"/>
          </w:tcPr>
          <w:p w14:paraId="73EF9AA0" w14:textId="77777777" w:rsidR="00EA0362" w:rsidRDefault="00921616">
            <w:pPr>
              <w:pStyle w:val="BlockText"/>
              <w:rPr>
                <w:sz w:val="22"/>
              </w:rPr>
            </w:pPr>
            <w:r>
              <w:rPr>
                <w:sz w:val="22"/>
              </w:rPr>
              <w:t>Tips allocated to the employee</w:t>
            </w:r>
            <w:r w:rsidR="00EA0362">
              <w:rPr>
                <w:sz w:val="22"/>
              </w:rPr>
              <w:t>.</w:t>
            </w:r>
          </w:p>
        </w:tc>
      </w:tr>
      <w:tr w:rsidR="00EA0362" w14:paraId="784D10F6"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455F50E2" w14:textId="77777777" w:rsidR="00EA0362" w:rsidRDefault="00EA0362">
            <w:pPr>
              <w:jc w:val="center"/>
              <w:rPr>
                <w:sz w:val="22"/>
              </w:rPr>
            </w:pPr>
            <w:r>
              <w:rPr>
                <w:sz w:val="22"/>
              </w:rPr>
              <w:t>9</w:t>
            </w:r>
          </w:p>
        </w:tc>
        <w:tc>
          <w:tcPr>
            <w:tcW w:w="2340" w:type="dxa"/>
          </w:tcPr>
          <w:p w14:paraId="74AEBF2C" w14:textId="77777777" w:rsidR="00EA0362" w:rsidRDefault="008D4EA9">
            <w:pPr>
              <w:pStyle w:val="BlockText"/>
              <w:rPr>
                <w:sz w:val="22"/>
              </w:rPr>
            </w:pPr>
            <w:r>
              <w:rPr>
                <w:sz w:val="22"/>
              </w:rPr>
              <w:t>Not Used</w:t>
            </w:r>
          </w:p>
        </w:tc>
        <w:tc>
          <w:tcPr>
            <w:tcW w:w="5400" w:type="dxa"/>
          </w:tcPr>
          <w:p w14:paraId="6EE8E95A" w14:textId="77777777" w:rsidR="00EA0362" w:rsidRDefault="008D4EA9" w:rsidP="008D4EA9">
            <w:pPr>
              <w:pStyle w:val="BlockText"/>
              <w:rPr>
                <w:sz w:val="22"/>
              </w:rPr>
            </w:pPr>
            <w:r>
              <w:rPr>
                <w:sz w:val="22"/>
              </w:rPr>
              <w:t xml:space="preserve">Not used.  Should be blank.  </w:t>
            </w:r>
          </w:p>
        </w:tc>
      </w:tr>
      <w:tr w:rsidR="00EA0362" w14:paraId="37451E2C"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3F90A388" w14:textId="77777777" w:rsidR="00EA0362" w:rsidRDefault="00EA0362">
            <w:pPr>
              <w:jc w:val="center"/>
              <w:rPr>
                <w:sz w:val="22"/>
              </w:rPr>
            </w:pPr>
            <w:r>
              <w:rPr>
                <w:sz w:val="22"/>
              </w:rPr>
              <w:t>10</w:t>
            </w:r>
          </w:p>
        </w:tc>
        <w:tc>
          <w:tcPr>
            <w:tcW w:w="2340" w:type="dxa"/>
          </w:tcPr>
          <w:p w14:paraId="2ADE5D1E" w14:textId="77777777" w:rsidR="00EA0362" w:rsidRDefault="00EA0362">
            <w:pPr>
              <w:pStyle w:val="BlockText"/>
              <w:rPr>
                <w:sz w:val="22"/>
              </w:rPr>
            </w:pPr>
            <w:r>
              <w:rPr>
                <w:sz w:val="22"/>
              </w:rPr>
              <w:t>Dependent Care Benefits</w:t>
            </w:r>
          </w:p>
        </w:tc>
        <w:tc>
          <w:tcPr>
            <w:tcW w:w="5400" w:type="dxa"/>
          </w:tcPr>
          <w:p w14:paraId="2FA71108" w14:textId="4BBF7313" w:rsidR="00EA0362" w:rsidRDefault="00EA0362" w:rsidP="00BB1D1C">
            <w:pPr>
              <w:pStyle w:val="BlockText"/>
              <w:rPr>
                <w:sz w:val="22"/>
              </w:rPr>
            </w:pPr>
            <w:r>
              <w:rPr>
                <w:sz w:val="22"/>
              </w:rPr>
              <w:t xml:space="preserve">Amount deducted through the Dependent Care Flexible Reimbursement Account (Deduction </w:t>
            </w:r>
            <w:r w:rsidR="00516AD0">
              <w:rPr>
                <w:sz w:val="22"/>
              </w:rPr>
              <w:t>0</w:t>
            </w:r>
            <w:r>
              <w:rPr>
                <w:sz w:val="22"/>
              </w:rPr>
              <w:t>21</w:t>
            </w:r>
            <w:r w:rsidR="00BB1D1C">
              <w:rPr>
                <w:sz w:val="22"/>
              </w:rPr>
              <w:t xml:space="preserve"> and 055</w:t>
            </w:r>
            <w:r>
              <w:rPr>
                <w:sz w:val="22"/>
              </w:rPr>
              <w:t>).</w:t>
            </w:r>
          </w:p>
        </w:tc>
      </w:tr>
      <w:tr w:rsidR="00EA0362" w14:paraId="124194B7"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cantSplit/>
        </w:trPr>
        <w:tc>
          <w:tcPr>
            <w:tcW w:w="720" w:type="dxa"/>
          </w:tcPr>
          <w:p w14:paraId="71A355A6" w14:textId="77777777" w:rsidR="00EA0362" w:rsidRDefault="00EA0362">
            <w:pPr>
              <w:jc w:val="center"/>
              <w:rPr>
                <w:sz w:val="22"/>
              </w:rPr>
            </w:pPr>
            <w:r>
              <w:rPr>
                <w:sz w:val="22"/>
              </w:rPr>
              <w:t>11</w:t>
            </w:r>
          </w:p>
        </w:tc>
        <w:tc>
          <w:tcPr>
            <w:tcW w:w="2340" w:type="dxa"/>
          </w:tcPr>
          <w:p w14:paraId="2219AF14" w14:textId="77777777" w:rsidR="00EA0362" w:rsidRDefault="00EA0362">
            <w:pPr>
              <w:pStyle w:val="BlockText"/>
              <w:rPr>
                <w:sz w:val="22"/>
              </w:rPr>
            </w:pPr>
            <w:r>
              <w:rPr>
                <w:sz w:val="22"/>
              </w:rPr>
              <w:t>Nonqualified Plans</w:t>
            </w:r>
          </w:p>
        </w:tc>
        <w:tc>
          <w:tcPr>
            <w:tcW w:w="5400" w:type="dxa"/>
          </w:tcPr>
          <w:p w14:paraId="4E5E49C9" w14:textId="77777777" w:rsidR="00EA0362" w:rsidRDefault="00EA0362">
            <w:pPr>
              <w:pStyle w:val="BlockText"/>
              <w:rPr>
                <w:sz w:val="22"/>
              </w:rPr>
            </w:pPr>
            <w:r>
              <w:rPr>
                <w:sz w:val="22"/>
              </w:rPr>
              <w:t>Not used.  Should be blank.</w:t>
            </w:r>
          </w:p>
        </w:tc>
      </w:tr>
      <w:tr w:rsidR="00EA0362" w14:paraId="0F844825" w14:textId="77777777" w:rsidTr="00FB21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728" w:type="dxa"/>
          <w:trHeight w:val="1155"/>
        </w:trPr>
        <w:tc>
          <w:tcPr>
            <w:tcW w:w="720" w:type="dxa"/>
          </w:tcPr>
          <w:p w14:paraId="78F2EB25" w14:textId="77777777" w:rsidR="00EA0362" w:rsidRDefault="00EA0362">
            <w:pPr>
              <w:jc w:val="center"/>
              <w:rPr>
                <w:sz w:val="22"/>
              </w:rPr>
            </w:pPr>
            <w:r>
              <w:rPr>
                <w:sz w:val="22"/>
              </w:rPr>
              <w:t>12</w:t>
            </w:r>
          </w:p>
        </w:tc>
        <w:tc>
          <w:tcPr>
            <w:tcW w:w="2340" w:type="dxa"/>
          </w:tcPr>
          <w:p w14:paraId="1A33F343" w14:textId="77777777" w:rsidR="00EA0362" w:rsidRDefault="00EA0362">
            <w:pPr>
              <w:pStyle w:val="TableText"/>
              <w:rPr>
                <w:sz w:val="22"/>
              </w:rPr>
            </w:pPr>
            <w:r>
              <w:rPr>
                <w:sz w:val="22"/>
              </w:rPr>
              <w:t>Multi-purpose:</w:t>
            </w:r>
          </w:p>
          <w:p w14:paraId="56081EE4" w14:textId="09F50BE7" w:rsidR="00EA0362" w:rsidRDefault="00EA0362">
            <w:pPr>
              <w:pStyle w:val="TableText"/>
              <w:rPr>
                <w:sz w:val="22"/>
              </w:rPr>
            </w:pPr>
          </w:p>
          <w:p w14:paraId="18D64FB9" w14:textId="77777777" w:rsidR="00190B5B" w:rsidRDefault="00190B5B">
            <w:pPr>
              <w:pStyle w:val="TableText"/>
              <w:rPr>
                <w:sz w:val="22"/>
              </w:rPr>
            </w:pPr>
          </w:p>
          <w:p w14:paraId="1095EA98" w14:textId="77777777" w:rsidR="00EA0362" w:rsidRDefault="00EA0362">
            <w:pPr>
              <w:pStyle w:val="TableText"/>
              <w:rPr>
                <w:sz w:val="22"/>
              </w:rPr>
            </w:pPr>
            <w:r>
              <w:rPr>
                <w:sz w:val="22"/>
              </w:rPr>
              <w:t>C</w:t>
            </w:r>
          </w:p>
          <w:p w14:paraId="625593EC" w14:textId="77777777" w:rsidR="00EA0362" w:rsidRDefault="00EA0362">
            <w:pPr>
              <w:pStyle w:val="TableText"/>
              <w:rPr>
                <w:sz w:val="22"/>
              </w:rPr>
            </w:pPr>
          </w:p>
          <w:p w14:paraId="0818A240" w14:textId="77777777" w:rsidR="0039344C" w:rsidRDefault="0039344C">
            <w:pPr>
              <w:tabs>
                <w:tab w:val="left" w:pos="1080"/>
                <w:tab w:val="left" w:pos="3402"/>
              </w:tabs>
              <w:rPr>
                <w:sz w:val="22"/>
              </w:rPr>
            </w:pPr>
          </w:p>
          <w:p w14:paraId="341518BD" w14:textId="77777777" w:rsidR="00EA0362" w:rsidRDefault="00EA0362">
            <w:pPr>
              <w:tabs>
                <w:tab w:val="left" w:pos="1080"/>
                <w:tab w:val="left" w:pos="3402"/>
              </w:tabs>
              <w:rPr>
                <w:sz w:val="22"/>
              </w:rPr>
            </w:pPr>
            <w:r>
              <w:rPr>
                <w:sz w:val="22"/>
              </w:rPr>
              <w:t>E</w:t>
            </w:r>
          </w:p>
          <w:p w14:paraId="2862D9F0" w14:textId="77777777" w:rsidR="00EA0362" w:rsidRDefault="00EA0362">
            <w:pPr>
              <w:tabs>
                <w:tab w:val="left" w:pos="1080"/>
                <w:tab w:val="left" w:pos="3402"/>
              </w:tabs>
              <w:rPr>
                <w:sz w:val="22"/>
              </w:rPr>
            </w:pPr>
          </w:p>
          <w:p w14:paraId="734F8667" w14:textId="77777777" w:rsidR="00EA0362" w:rsidRDefault="00EA0362">
            <w:pPr>
              <w:pStyle w:val="TableText"/>
              <w:rPr>
                <w:sz w:val="22"/>
              </w:rPr>
            </w:pPr>
            <w:r>
              <w:rPr>
                <w:sz w:val="22"/>
              </w:rPr>
              <w:t>G</w:t>
            </w:r>
          </w:p>
          <w:p w14:paraId="4CE422CA" w14:textId="77777777" w:rsidR="00EA0362" w:rsidRDefault="00EA0362">
            <w:pPr>
              <w:tabs>
                <w:tab w:val="left" w:pos="1080"/>
                <w:tab w:val="left" w:pos="3402"/>
              </w:tabs>
              <w:rPr>
                <w:sz w:val="22"/>
              </w:rPr>
            </w:pPr>
          </w:p>
        </w:tc>
        <w:tc>
          <w:tcPr>
            <w:tcW w:w="5400" w:type="dxa"/>
          </w:tcPr>
          <w:p w14:paraId="67178582" w14:textId="6EAE4E55" w:rsidR="00EA0362" w:rsidRDefault="00EA0362">
            <w:pPr>
              <w:pStyle w:val="BlockText"/>
              <w:rPr>
                <w:sz w:val="22"/>
              </w:rPr>
            </w:pPr>
            <w:r>
              <w:rPr>
                <w:sz w:val="22"/>
              </w:rPr>
              <w:t xml:space="preserve">Box </w:t>
            </w:r>
            <w:r>
              <w:rPr>
                <w:sz w:val="22"/>
                <w:u w:val="single"/>
              </w:rPr>
              <w:t>may</w:t>
            </w:r>
            <w:r>
              <w:rPr>
                <w:sz w:val="22"/>
              </w:rPr>
              <w:t xml:space="preserve"> contain the following required items with labels assigned by IRS:</w:t>
            </w:r>
          </w:p>
          <w:p w14:paraId="2FFFF8B5" w14:textId="77777777" w:rsidR="00190B5B" w:rsidRDefault="00190B5B">
            <w:pPr>
              <w:pStyle w:val="BlockText"/>
              <w:rPr>
                <w:sz w:val="22"/>
              </w:rPr>
            </w:pPr>
          </w:p>
          <w:p w14:paraId="0C69BC2C" w14:textId="77777777" w:rsidR="00EA0362" w:rsidRDefault="00EA0362">
            <w:pPr>
              <w:pStyle w:val="BlockText"/>
              <w:rPr>
                <w:sz w:val="22"/>
              </w:rPr>
            </w:pPr>
            <w:r>
              <w:rPr>
                <w:sz w:val="22"/>
              </w:rPr>
              <w:t>Group Term Insurance Coverage over $50,000 (Special Pay 14 - Imputed Life)</w:t>
            </w:r>
          </w:p>
          <w:p w14:paraId="4F64A5B2" w14:textId="77777777" w:rsidR="0039344C" w:rsidRDefault="0039344C">
            <w:pPr>
              <w:tabs>
                <w:tab w:val="left" w:pos="1080"/>
                <w:tab w:val="left" w:pos="3402"/>
              </w:tabs>
              <w:rPr>
                <w:sz w:val="22"/>
              </w:rPr>
            </w:pPr>
          </w:p>
          <w:p w14:paraId="633582F7" w14:textId="77777777" w:rsidR="00EA0362" w:rsidRDefault="00EA0362">
            <w:pPr>
              <w:tabs>
                <w:tab w:val="left" w:pos="1080"/>
                <w:tab w:val="left" w:pos="3402"/>
              </w:tabs>
              <w:rPr>
                <w:sz w:val="22"/>
              </w:rPr>
            </w:pPr>
            <w:r>
              <w:rPr>
                <w:sz w:val="22"/>
              </w:rPr>
              <w:t xml:space="preserve">Section 403(b) plans (Deduction </w:t>
            </w:r>
            <w:r w:rsidR="00516AD0">
              <w:rPr>
                <w:sz w:val="22"/>
              </w:rPr>
              <w:t>0</w:t>
            </w:r>
            <w:r>
              <w:rPr>
                <w:sz w:val="22"/>
              </w:rPr>
              <w:t>39 - Annuities)</w:t>
            </w:r>
          </w:p>
          <w:p w14:paraId="16EE2DC0" w14:textId="77777777" w:rsidR="00EA0362" w:rsidRDefault="00EA0362">
            <w:pPr>
              <w:tabs>
                <w:tab w:val="left" w:pos="1080"/>
                <w:tab w:val="left" w:pos="3402"/>
              </w:tabs>
              <w:rPr>
                <w:sz w:val="22"/>
              </w:rPr>
            </w:pPr>
          </w:p>
          <w:p w14:paraId="4A5DE76E" w14:textId="1AE56DB4" w:rsidR="00EA0362" w:rsidRDefault="00EA0362" w:rsidP="0034389B">
            <w:pPr>
              <w:pStyle w:val="BlockText"/>
              <w:rPr>
                <w:sz w:val="22"/>
              </w:rPr>
            </w:pPr>
            <w:r>
              <w:rPr>
                <w:sz w:val="22"/>
              </w:rPr>
              <w:t xml:space="preserve">Section 457 plans (Deduction </w:t>
            </w:r>
            <w:r w:rsidR="00516AD0">
              <w:rPr>
                <w:sz w:val="22"/>
              </w:rPr>
              <w:t>0</w:t>
            </w:r>
            <w:r>
              <w:rPr>
                <w:sz w:val="22"/>
              </w:rPr>
              <w:t>38</w:t>
            </w:r>
            <w:r w:rsidR="00190B5B">
              <w:rPr>
                <w:sz w:val="22"/>
              </w:rPr>
              <w:t xml:space="preserve"> and 016</w:t>
            </w:r>
            <w:r>
              <w:rPr>
                <w:sz w:val="22"/>
              </w:rPr>
              <w:t xml:space="preserve"> - Deferred Compensation) </w:t>
            </w:r>
          </w:p>
        </w:tc>
      </w:tr>
    </w:tbl>
    <w:p w14:paraId="60D07D78" w14:textId="77777777" w:rsidR="00EA0362" w:rsidRDefault="00EA0362"/>
    <w:p w14:paraId="396A501E" w14:textId="77777777" w:rsidR="00EA0362" w:rsidRDefault="00EA0362">
      <w:pPr>
        <w:pStyle w:val="ContinuedOnNextPa"/>
        <w:outlineLvl w:val="0"/>
      </w:pPr>
      <w:r>
        <w:t>Continued on next page</w:t>
      </w:r>
    </w:p>
    <w:p w14:paraId="3E905B7A" w14:textId="77777777" w:rsidR="00904868" w:rsidRPr="002024B2" w:rsidRDefault="00EA0362" w:rsidP="00904868">
      <w:pPr>
        <w:pStyle w:val="MapTitleContinued"/>
        <w:spacing w:after="120"/>
        <w:outlineLvl w:val="0"/>
        <w:rPr>
          <w:rFonts w:ascii="Times New Roman" w:hAnsi="Times New Roman"/>
          <w:b w:val="0"/>
          <w:sz w:val="24"/>
        </w:rPr>
      </w:pPr>
      <w:r>
        <w:br w:type="page"/>
      </w:r>
      <w:r w:rsidR="00904868" w:rsidRPr="00105E97">
        <w:rPr>
          <w:sz w:val="16"/>
          <w:szCs w:val="16"/>
        </w:rPr>
        <w:t xml:space="preserve"> </w:t>
      </w:r>
      <w:r w:rsidR="00904868" w:rsidRPr="002024B2">
        <w:rPr>
          <w:rFonts w:ascii="Times New Roman" w:hAnsi="Times New Roman"/>
          <w:sz w:val="28"/>
          <w:szCs w:val="28"/>
        </w:rPr>
        <w:t>W-2 Forms,</w:t>
      </w:r>
      <w:r w:rsidR="00904868" w:rsidRPr="002024B2">
        <w:rPr>
          <w:rFonts w:ascii="Times New Roman" w:hAnsi="Times New Roman"/>
        </w:rPr>
        <w:t xml:space="preserve"> </w:t>
      </w:r>
      <w:r w:rsidR="00904868" w:rsidRPr="002024B2">
        <w:rPr>
          <w:rFonts w:ascii="Times New Roman" w:hAnsi="Times New Roman"/>
          <w:b w:val="0"/>
          <w:sz w:val="24"/>
          <w:szCs w:val="24"/>
        </w:rPr>
        <w:t>continued</w:t>
      </w:r>
    </w:p>
    <w:p w14:paraId="43122339" w14:textId="77777777" w:rsidR="00904868" w:rsidRPr="00105E97" w:rsidRDefault="00904868" w:rsidP="00904868">
      <w:pPr>
        <w:pStyle w:val="BlockLine"/>
        <w:spacing w:before="0"/>
        <w:ind w:left="1699"/>
        <w:rPr>
          <w:sz w:val="16"/>
          <w:szCs w:val="16"/>
        </w:rPr>
      </w:pPr>
    </w:p>
    <w:tbl>
      <w:tblPr>
        <w:tblW w:w="0" w:type="auto"/>
        <w:tblLayout w:type="fixed"/>
        <w:tblLook w:val="0000" w:firstRow="0" w:lastRow="0" w:firstColumn="0" w:lastColumn="0" w:noHBand="0" w:noVBand="0"/>
      </w:tblPr>
      <w:tblGrid>
        <w:gridCol w:w="1728"/>
        <w:gridCol w:w="8460"/>
      </w:tblGrid>
      <w:tr w:rsidR="00DD148D" w:rsidRPr="008B65CD" w14:paraId="29192369" w14:textId="77777777" w:rsidTr="00DA50E6">
        <w:trPr>
          <w:cantSplit/>
        </w:trPr>
        <w:tc>
          <w:tcPr>
            <w:tcW w:w="1728" w:type="dxa"/>
          </w:tcPr>
          <w:p w14:paraId="66294FA3" w14:textId="00D34AB2" w:rsidR="00DD148D" w:rsidRPr="008B65CD" w:rsidRDefault="00DD148D" w:rsidP="00DA50E6">
            <w:pPr>
              <w:pStyle w:val="Heading5"/>
              <w:rPr>
                <w:sz w:val="24"/>
                <w:szCs w:val="24"/>
              </w:rPr>
            </w:pPr>
            <w:r w:rsidRPr="008B65CD">
              <w:rPr>
                <w:sz w:val="24"/>
                <w:szCs w:val="24"/>
              </w:rPr>
              <w:t>W-2 Form Content Descriptions</w:t>
            </w:r>
            <w:r>
              <w:rPr>
                <w:sz w:val="24"/>
                <w:szCs w:val="24"/>
              </w:rPr>
              <w:t>, cont.</w:t>
            </w:r>
          </w:p>
        </w:tc>
        <w:tc>
          <w:tcPr>
            <w:tcW w:w="8460" w:type="dxa"/>
          </w:tcPr>
          <w:p w14:paraId="59E108BD" w14:textId="3C6ADF9F" w:rsidR="00DD148D" w:rsidRPr="008B65CD" w:rsidRDefault="00CB59CE" w:rsidP="00DA50E6">
            <w:pPr>
              <w:pStyle w:val="BlockText"/>
              <w:rPr>
                <w:sz w:val="22"/>
                <w:szCs w:val="22"/>
              </w:rPr>
            </w:pPr>
            <w:r w:rsidRPr="008B65CD">
              <w:rPr>
                <w:sz w:val="22"/>
                <w:szCs w:val="22"/>
              </w:rPr>
              <w:t>This list identifies the coding in all boxes included on an employee’s W-2 form and provides a description</w:t>
            </w:r>
            <w:r>
              <w:rPr>
                <w:sz w:val="22"/>
                <w:szCs w:val="22"/>
              </w:rPr>
              <w:t>.</w:t>
            </w:r>
          </w:p>
        </w:tc>
      </w:tr>
    </w:tbl>
    <w:p w14:paraId="0531E4F5" w14:textId="77777777" w:rsidR="00DD148D" w:rsidRDefault="00DD148D"/>
    <w:tbl>
      <w:tblPr>
        <w:tblW w:w="0" w:type="auto"/>
        <w:jc w:val="right"/>
        <w:tblLayout w:type="fixed"/>
        <w:tblCellMar>
          <w:left w:w="80" w:type="dxa"/>
          <w:right w:w="80" w:type="dxa"/>
        </w:tblCellMar>
        <w:tblLook w:val="0000" w:firstRow="0" w:lastRow="0" w:firstColumn="0" w:lastColumn="0" w:noHBand="0" w:noVBand="0"/>
      </w:tblPr>
      <w:tblGrid>
        <w:gridCol w:w="802"/>
        <w:gridCol w:w="2258"/>
        <w:gridCol w:w="5310"/>
      </w:tblGrid>
      <w:tr w:rsidR="00EA0362" w14:paraId="49C48885"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6748F3AF" w14:textId="77777777" w:rsidR="00EA0362" w:rsidRDefault="00EA0362">
            <w:pPr>
              <w:jc w:val="center"/>
              <w:rPr>
                <w:b/>
                <w:sz w:val="22"/>
              </w:rPr>
            </w:pPr>
            <w:r>
              <w:rPr>
                <w:b/>
                <w:sz w:val="22"/>
              </w:rPr>
              <w:t>Field</w:t>
            </w:r>
          </w:p>
        </w:tc>
        <w:tc>
          <w:tcPr>
            <w:tcW w:w="2258" w:type="dxa"/>
            <w:tcBorders>
              <w:top w:val="single" w:sz="6" w:space="0" w:color="auto"/>
              <w:left w:val="single" w:sz="6" w:space="0" w:color="auto"/>
              <w:bottom w:val="single" w:sz="6" w:space="0" w:color="auto"/>
              <w:right w:val="single" w:sz="6" w:space="0" w:color="auto"/>
            </w:tcBorders>
          </w:tcPr>
          <w:p w14:paraId="74B97589" w14:textId="77777777" w:rsidR="00EA0362" w:rsidRDefault="00EA0362">
            <w:pPr>
              <w:jc w:val="center"/>
              <w:rPr>
                <w:b/>
                <w:sz w:val="22"/>
              </w:rPr>
            </w:pPr>
            <w:r>
              <w:rPr>
                <w:b/>
                <w:sz w:val="22"/>
              </w:rPr>
              <w:t>Title</w:t>
            </w:r>
          </w:p>
        </w:tc>
        <w:tc>
          <w:tcPr>
            <w:tcW w:w="5310" w:type="dxa"/>
            <w:tcBorders>
              <w:top w:val="single" w:sz="6" w:space="0" w:color="auto"/>
              <w:left w:val="single" w:sz="6" w:space="0" w:color="auto"/>
              <w:bottom w:val="single" w:sz="6" w:space="0" w:color="auto"/>
              <w:right w:val="single" w:sz="6" w:space="0" w:color="auto"/>
            </w:tcBorders>
          </w:tcPr>
          <w:p w14:paraId="09DEF75E" w14:textId="77777777" w:rsidR="00EA0362" w:rsidRDefault="00EA0362">
            <w:pPr>
              <w:jc w:val="center"/>
              <w:rPr>
                <w:b/>
                <w:sz w:val="22"/>
              </w:rPr>
            </w:pPr>
            <w:r>
              <w:rPr>
                <w:b/>
                <w:sz w:val="22"/>
              </w:rPr>
              <w:t>Description</w:t>
            </w:r>
          </w:p>
        </w:tc>
      </w:tr>
      <w:tr w:rsidR="00EA0362" w14:paraId="3CB5C9C5" w14:textId="77777777" w:rsidTr="00DD148D">
        <w:trPr>
          <w:cantSplit/>
          <w:jc w:val="right"/>
        </w:trPr>
        <w:tc>
          <w:tcPr>
            <w:tcW w:w="802" w:type="dxa"/>
            <w:vMerge w:val="restart"/>
            <w:tcBorders>
              <w:top w:val="single" w:sz="6" w:space="0" w:color="auto"/>
              <w:left w:val="single" w:sz="6" w:space="0" w:color="auto"/>
              <w:bottom w:val="nil"/>
              <w:right w:val="single" w:sz="6" w:space="0" w:color="auto"/>
            </w:tcBorders>
          </w:tcPr>
          <w:p w14:paraId="13B63913" w14:textId="77777777" w:rsidR="00EA0362" w:rsidRDefault="00EA0362">
            <w:pPr>
              <w:pStyle w:val="TableText"/>
              <w:rPr>
                <w:sz w:val="22"/>
              </w:rPr>
            </w:pPr>
            <w:r>
              <w:rPr>
                <w:sz w:val="22"/>
              </w:rPr>
              <w:t>12, cont.</w:t>
            </w:r>
          </w:p>
        </w:tc>
        <w:tc>
          <w:tcPr>
            <w:tcW w:w="2258" w:type="dxa"/>
            <w:tcBorders>
              <w:top w:val="single" w:sz="6" w:space="0" w:color="auto"/>
              <w:left w:val="single" w:sz="6" w:space="0" w:color="auto"/>
              <w:bottom w:val="single" w:sz="6" w:space="0" w:color="auto"/>
              <w:right w:val="single" w:sz="6" w:space="0" w:color="auto"/>
            </w:tcBorders>
          </w:tcPr>
          <w:p w14:paraId="50B850D0" w14:textId="77777777" w:rsidR="00EA0362" w:rsidRPr="00DB4CC4" w:rsidRDefault="00EA0362">
            <w:pPr>
              <w:pStyle w:val="TableText"/>
              <w:rPr>
                <w:sz w:val="22"/>
              </w:rPr>
            </w:pPr>
            <w:r w:rsidRPr="00DB4CC4">
              <w:rPr>
                <w:sz w:val="22"/>
              </w:rPr>
              <w:t>Multi-purpose:</w:t>
            </w:r>
          </w:p>
          <w:p w14:paraId="4A011D45" w14:textId="70F05574" w:rsidR="00EA0362" w:rsidRDefault="00EA0362">
            <w:pPr>
              <w:pStyle w:val="TableText"/>
              <w:rPr>
                <w:sz w:val="22"/>
              </w:rPr>
            </w:pPr>
          </w:p>
          <w:p w14:paraId="4F0B47B0" w14:textId="77777777" w:rsidR="004A28E1" w:rsidRPr="00DB4CC4" w:rsidRDefault="004A28E1">
            <w:pPr>
              <w:pStyle w:val="TableText"/>
              <w:rPr>
                <w:sz w:val="22"/>
              </w:rPr>
            </w:pPr>
          </w:p>
          <w:p w14:paraId="27CCB483" w14:textId="77777777" w:rsidR="00EA0362" w:rsidRPr="00DB4CC4" w:rsidRDefault="00EA0362">
            <w:pPr>
              <w:pStyle w:val="TableText"/>
              <w:rPr>
                <w:sz w:val="22"/>
              </w:rPr>
            </w:pPr>
            <w:r w:rsidRPr="00DB4CC4">
              <w:rPr>
                <w:sz w:val="22"/>
              </w:rPr>
              <w:t>M</w:t>
            </w:r>
          </w:p>
          <w:p w14:paraId="7335D443" w14:textId="77777777" w:rsidR="00EA0362" w:rsidRPr="00DB4CC4" w:rsidRDefault="00EA0362">
            <w:pPr>
              <w:pStyle w:val="TableText"/>
              <w:rPr>
                <w:sz w:val="22"/>
              </w:rPr>
            </w:pPr>
          </w:p>
          <w:p w14:paraId="731D03E6" w14:textId="77777777" w:rsidR="0039344C" w:rsidRPr="00DB4CC4" w:rsidRDefault="0039344C">
            <w:pPr>
              <w:pStyle w:val="TableText"/>
              <w:rPr>
                <w:sz w:val="22"/>
              </w:rPr>
            </w:pPr>
          </w:p>
          <w:p w14:paraId="3B2B8E9C" w14:textId="77777777" w:rsidR="00EA0362" w:rsidRPr="00DB4CC4" w:rsidRDefault="00EA0362">
            <w:pPr>
              <w:pStyle w:val="TableText"/>
              <w:rPr>
                <w:sz w:val="22"/>
              </w:rPr>
            </w:pPr>
            <w:r w:rsidRPr="00DB4CC4">
              <w:rPr>
                <w:sz w:val="22"/>
              </w:rPr>
              <w:t>N</w:t>
            </w:r>
          </w:p>
          <w:p w14:paraId="110ABA7C" w14:textId="77777777" w:rsidR="00EA0362" w:rsidRPr="00DB4CC4" w:rsidRDefault="00EA0362">
            <w:pPr>
              <w:pStyle w:val="TableText"/>
              <w:rPr>
                <w:sz w:val="22"/>
              </w:rPr>
            </w:pPr>
          </w:p>
          <w:p w14:paraId="63A0E948" w14:textId="77777777" w:rsidR="0039344C" w:rsidRPr="00DB4CC4" w:rsidRDefault="0039344C">
            <w:pPr>
              <w:pStyle w:val="TableText"/>
              <w:rPr>
                <w:sz w:val="22"/>
              </w:rPr>
            </w:pPr>
          </w:p>
          <w:p w14:paraId="2F225EE0" w14:textId="77777777" w:rsidR="00D032E1" w:rsidRPr="00DB4CC4" w:rsidRDefault="00D032E1">
            <w:pPr>
              <w:pStyle w:val="TableText"/>
              <w:rPr>
                <w:sz w:val="22"/>
              </w:rPr>
            </w:pPr>
            <w:r w:rsidRPr="00DB4CC4">
              <w:rPr>
                <w:sz w:val="22"/>
              </w:rPr>
              <w:t>BB</w:t>
            </w:r>
          </w:p>
          <w:p w14:paraId="549E8A8B" w14:textId="77777777" w:rsidR="00D032E1" w:rsidRPr="00DB4CC4" w:rsidRDefault="00D032E1">
            <w:pPr>
              <w:pStyle w:val="TableText"/>
              <w:rPr>
                <w:sz w:val="22"/>
              </w:rPr>
            </w:pPr>
          </w:p>
          <w:p w14:paraId="6135E829" w14:textId="77777777" w:rsidR="00FB0EB8" w:rsidRPr="00DB4CC4" w:rsidRDefault="00FB0EB8">
            <w:pPr>
              <w:pStyle w:val="TableText"/>
              <w:rPr>
                <w:sz w:val="22"/>
              </w:rPr>
            </w:pPr>
            <w:r w:rsidRPr="00DB4CC4">
              <w:rPr>
                <w:sz w:val="22"/>
              </w:rPr>
              <w:t>DD</w:t>
            </w:r>
          </w:p>
          <w:p w14:paraId="6C185BC9" w14:textId="77777777" w:rsidR="00D032E1" w:rsidRPr="00DB4CC4" w:rsidRDefault="00D032E1">
            <w:pPr>
              <w:pStyle w:val="TableText"/>
              <w:rPr>
                <w:sz w:val="22"/>
              </w:rPr>
            </w:pPr>
          </w:p>
          <w:p w14:paraId="7D8627A0" w14:textId="77777777" w:rsidR="00D032E1" w:rsidRPr="00DB4CC4" w:rsidRDefault="00D032E1">
            <w:pPr>
              <w:pStyle w:val="TableText"/>
              <w:rPr>
                <w:sz w:val="22"/>
              </w:rPr>
            </w:pPr>
            <w:r w:rsidRPr="00DB4CC4">
              <w:rPr>
                <w:sz w:val="22"/>
              </w:rPr>
              <w:t>EE</w:t>
            </w:r>
          </w:p>
        </w:tc>
        <w:tc>
          <w:tcPr>
            <w:tcW w:w="5310" w:type="dxa"/>
            <w:tcBorders>
              <w:top w:val="single" w:sz="6" w:space="0" w:color="auto"/>
              <w:left w:val="single" w:sz="6" w:space="0" w:color="auto"/>
              <w:bottom w:val="single" w:sz="6" w:space="0" w:color="auto"/>
              <w:right w:val="single" w:sz="6" w:space="0" w:color="auto"/>
            </w:tcBorders>
          </w:tcPr>
          <w:p w14:paraId="1EAB1DD6" w14:textId="77777777" w:rsidR="00EA0362" w:rsidRPr="00DB4CC4" w:rsidRDefault="00EA0362">
            <w:pPr>
              <w:pStyle w:val="BlockText"/>
              <w:rPr>
                <w:sz w:val="22"/>
              </w:rPr>
            </w:pPr>
            <w:r w:rsidRPr="00DB4CC4">
              <w:rPr>
                <w:sz w:val="22"/>
              </w:rPr>
              <w:t xml:space="preserve">Box </w:t>
            </w:r>
            <w:r w:rsidRPr="00DB4CC4">
              <w:rPr>
                <w:sz w:val="22"/>
                <w:u w:val="single"/>
              </w:rPr>
              <w:t>may</w:t>
            </w:r>
            <w:r w:rsidRPr="00DB4CC4">
              <w:rPr>
                <w:sz w:val="22"/>
              </w:rPr>
              <w:t xml:space="preserve"> contain the following required items with labels assigned by IRS:</w:t>
            </w:r>
          </w:p>
          <w:p w14:paraId="25A46632" w14:textId="77777777" w:rsidR="00EA0362" w:rsidRPr="00DB4CC4" w:rsidRDefault="00EA0362">
            <w:pPr>
              <w:pStyle w:val="TableText"/>
              <w:rPr>
                <w:sz w:val="22"/>
              </w:rPr>
            </w:pPr>
          </w:p>
          <w:p w14:paraId="2EF162A2" w14:textId="77777777" w:rsidR="00EA0362" w:rsidRPr="00DB4CC4" w:rsidRDefault="00EA0362">
            <w:pPr>
              <w:pStyle w:val="BlockText"/>
              <w:rPr>
                <w:sz w:val="22"/>
              </w:rPr>
            </w:pPr>
            <w:r w:rsidRPr="00DB4CC4">
              <w:rPr>
                <w:sz w:val="22"/>
              </w:rPr>
              <w:t>Uncollected OASDI on Group Term Life Insurance Coverage over $50,000</w:t>
            </w:r>
          </w:p>
          <w:p w14:paraId="7D61ABDA" w14:textId="77777777" w:rsidR="0039344C" w:rsidRPr="00DB4CC4" w:rsidRDefault="0039344C">
            <w:pPr>
              <w:pStyle w:val="BlockText"/>
              <w:rPr>
                <w:sz w:val="22"/>
              </w:rPr>
            </w:pPr>
          </w:p>
          <w:p w14:paraId="270AC395" w14:textId="77777777" w:rsidR="00EA0362" w:rsidRPr="00DB4CC4" w:rsidRDefault="00EA0362">
            <w:pPr>
              <w:pStyle w:val="BlockText"/>
              <w:rPr>
                <w:sz w:val="22"/>
              </w:rPr>
            </w:pPr>
            <w:r w:rsidRPr="00DB4CC4">
              <w:rPr>
                <w:sz w:val="22"/>
              </w:rPr>
              <w:t>Uncollected HI on Group Term Life Insurance Coverage over $50,000</w:t>
            </w:r>
          </w:p>
          <w:p w14:paraId="62FDE87E" w14:textId="77777777" w:rsidR="0039344C" w:rsidRPr="00DB4CC4" w:rsidRDefault="0039344C">
            <w:pPr>
              <w:pStyle w:val="BlockText"/>
              <w:rPr>
                <w:sz w:val="22"/>
              </w:rPr>
            </w:pPr>
          </w:p>
          <w:p w14:paraId="41CD20E9" w14:textId="77777777" w:rsidR="00D032E1" w:rsidRPr="00DB4CC4" w:rsidRDefault="00D032E1">
            <w:pPr>
              <w:pStyle w:val="TableText"/>
              <w:rPr>
                <w:sz w:val="22"/>
              </w:rPr>
            </w:pPr>
            <w:r w:rsidRPr="00DB4CC4">
              <w:rPr>
                <w:sz w:val="22"/>
              </w:rPr>
              <w:t>Roth 403(b)</w:t>
            </w:r>
            <w:r w:rsidR="005D67CF" w:rsidRPr="00DB4CC4">
              <w:rPr>
                <w:sz w:val="22"/>
              </w:rPr>
              <w:t xml:space="preserve"> – Deduction 043</w:t>
            </w:r>
          </w:p>
          <w:p w14:paraId="75745D23" w14:textId="77777777" w:rsidR="00D032E1" w:rsidRPr="00DB4CC4" w:rsidRDefault="00D032E1">
            <w:pPr>
              <w:pStyle w:val="TableText"/>
              <w:rPr>
                <w:sz w:val="22"/>
              </w:rPr>
            </w:pPr>
          </w:p>
          <w:p w14:paraId="0C260765" w14:textId="77777777" w:rsidR="00FB0EB8" w:rsidRPr="00DB4CC4" w:rsidRDefault="00FB0EB8">
            <w:pPr>
              <w:pStyle w:val="TableText"/>
              <w:rPr>
                <w:sz w:val="22"/>
              </w:rPr>
            </w:pPr>
            <w:r w:rsidRPr="00DB4CC4">
              <w:rPr>
                <w:sz w:val="22"/>
              </w:rPr>
              <w:t>Cost of employer-sponsored health coverage</w:t>
            </w:r>
          </w:p>
          <w:p w14:paraId="29F674F3" w14:textId="77777777" w:rsidR="00D032E1" w:rsidRPr="00DB4CC4" w:rsidRDefault="00D032E1">
            <w:pPr>
              <w:pStyle w:val="TableText"/>
              <w:rPr>
                <w:sz w:val="22"/>
              </w:rPr>
            </w:pPr>
          </w:p>
          <w:p w14:paraId="6EF15E26" w14:textId="77777777" w:rsidR="00D032E1" w:rsidRPr="00DB4CC4" w:rsidRDefault="00D032E1">
            <w:pPr>
              <w:pStyle w:val="TableText"/>
              <w:rPr>
                <w:sz w:val="22"/>
              </w:rPr>
            </w:pPr>
            <w:r w:rsidRPr="00DB4CC4">
              <w:rPr>
                <w:sz w:val="22"/>
              </w:rPr>
              <w:t>Roth 457</w:t>
            </w:r>
            <w:r w:rsidR="005D67CF" w:rsidRPr="00DB4CC4">
              <w:rPr>
                <w:sz w:val="22"/>
              </w:rPr>
              <w:t xml:space="preserve"> – Deduction 052</w:t>
            </w:r>
          </w:p>
        </w:tc>
      </w:tr>
      <w:tr w:rsidR="00EA0362" w14:paraId="33C4E701" w14:textId="77777777" w:rsidTr="00DD148D">
        <w:trPr>
          <w:cantSplit/>
          <w:jc w:val="right"/>
        </w:trPr>
        <w:tc>
          <w:tcPr>
            <w:tcW w:w="802" w:type="dxa"/>
            <w:vMerge/>
            <w:tcBorders>
              <w:top w:val="nil"/>
              <w:left w:val="single" w:sz="6" w:space="0" w:color="auto"/>
              <w:bottom w:val="single" w:sz="6" w:space="0" w:color="auto"/>
              <w:right w:val="single" w:sz="6" w:space="0" w:color="auto"/>
            </w:tcBorders>
          </w:tcPr>
          <w:p w14:paraId="250A6F0C" w14:textId="77777777" w:rsidR="00EA0362" w:rsidRDefault="00EA0362">
            <w:pPr>
              <w:pStyle w:val="TableText"/>
              <w:rPr>
                <w:sz w:val="22"/>
              </w:rPr>
            </w:pPr>
          </w:p>
        </w:tc>
        <w:tc>
          <w:tcPr>
            <w:tcW w:w="7568" w:type="dxa"/>
            <w:gridSpan w:val="2"/>
            <w:tcBorders>
              <w:top w:val="single" w:sz="6" w:space="0" w:color="auto"/>
              <w:left w:val="single" w:sz="6" w:space="0" w:color="auto"/>
              <w:bottom w:val="single" w:sz="6" w:space="0" w:color="auto"/>
              <w:right w:val="single" w:sz="6" w:space="0" w:color="auto"/>
            </w:tcBorders>
          </w:tcPr>
          <w:p w14:paraId="1C52E917" w14:textId="77777777" w:rsidR="00EA0362" w:rsidRDefault="00EA0362">
            <w:pPr>
              <w:pStyle w:val="BlockText"/>
              <w:rPr>
                <w:sz w:val="22"/>
              </w:rPr>
            </w:pPr>
            <w:r>
              <w:rPr>
                <w:b/>
                <w:sz w:val="22"/>
              </w:rPr>
              <w:t>Note:</w:t>
            </w:r>
            <w:r>
              <w:rPr>
                <w:sz w:val="22"/>
              </w:rPr>
              <w:t xml:space="preserve"> Only four items can print in </w:t>
            </w:r>
            <w:smartTag w:uri="urn:schemas-microsoft-com:office:smarttags" w:element="address">
              <w:smartTag w:uri="urn:schemas-microsoft-com:office:smarttags" w:element="Street">
                <w:r>
                  <w:rPr>
                    <w:sz w:val="22"/>
                  </w:rPr>
                  <w:t>BOX</w:t>
                </w:r>
              </w:smartTag>
              <w:r>
                <w:rPr>
                  <w:sz w:val="22"/>
                </w:rPr>
                <w:t xml:space="preserve"> 12</w:t>
              </w:r>
            </w:smartTag>
            <w:r>
              <w:rPr>
                <w:sz w:val="22"/>
              </w:rPr>
              <w:t>.  If an employee has more than four of these items, a second W-2 will be printed with basic identification information on it, but it will not repeat the wage and tax information printed on the first form.</w:t>
            </w:r>
          </w:p>
        </w:tc>
      </w:tr>
      <w:tr w:rsidR="00EA0362" w14:paraId="3C5F4070"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23DEEE6D" w14:textId="77777777" w:rsidR="00EA0362" w:rsidRDefault="00EA0362">
            <w:pPr>
              <w:pStyle w:val="TableText"/>
              <w:rPr>
                <w:sz w:val="22"/>
              </w:rPr>
            </w:pPr>
            <w:r>
              <w:rPr>
                <w:sz w:val="22"/>
              </w:rPr>
              <w:t>13</w:t>
            </w:r>
          </w:p>
        </w:tc>
        <w:tc>
          <w:tcPr>
            <w:tcW w:w="7568" w:type="dxa"/>
            <w:gridSpan w:val="2"/>
            <w:tcBorders>
              <w:top w:val="single" w:sz="6" w:space="0" w:color="auto"/>
              <w:left w:val="single" w:sz="6" w:space="0" w:color="auto"/>
              <w:bottom w:val="single" w:sz="6" w:space="0" w:color="auto"/>
              <w:right w:val="single" w:sz="6" w:space="0" w:color="auto"/>
            </w:tcBorders>
          </w:tcPr>
          <w:p w14:paraId="3A6D9601" w14:textId="77777777" w:rsidR="00EA0362" w:rsidRDefault="00EA0362">
            <w:pPr>
              <w:pStyle w:val="BlockText"/>
              <w:rPr>
                <w:sz w:val="22"/>
              </w:rPr>
            </w:pPr>
            <w:r>
              <w:rPr>
                <w:sz w:val="22"/>
              </w:rPr>
              <w:t xml:space="preserve">This box contains checkboxes that are marked with an </w:t>
            </w:r>
            <w:r w:rsidR="00D96B7D">
              <w:rPr>
                <w:sz w:val="22"/>
              </w:rPr>
              <w:t>“</w:t>
            </w:r>
            <w:r>
              <w:rPr>
                <w:sz w:val="22"/>
              </w:rPr>
              <w:t>X</w:t>
            </w:r>
            <w:r w:rsidR="00D96B7D">
              <w:rPr>
                <w:sz w:val="22"/>
              </w:rPr>
              <w:t>”</w:t>
            </w:r>
            <w:r>
              <w:rPr>
                <w:sz w:val="22"/>
              </w:rPr>
              <w:t xml:space="preserve"> if they apply.</w:t>
            </w:r>
          </w:p>
          <w:p w14:paraId="19206601" w14:textId="77777777" w:rsidR="00EA0362" w:rsidRDefault="00EA0362">
            <w:pPr>
              <w:tabs>
                <w:tab w:val="left" w:pos="1080"/>
                <w:tab w:val="left" w:pos="3600"/>
              </w:tabs>
              <w:ind w:left="3600" w:hanging="3600"/>
              <w:rPr>
                <w:sz w:val="22"/>
              </w:rPr>
            </w:pPr>
          </w:p>
          <w:p w14:paraId="0AF5EC57" w14:textId="77777777" w:rsidR="00EA0362" w:rsidRDefault="00EA0362">
            <w:pPr>
              <w:tabs>
                <w:tab w:val="left" w:pos="1080"/>
                <w:tab w:val="left" w:pos="3312"/>
              </w:tabs>
              <w:rPr>
                <w:sz w:val="22"/>
              </w:rPr>
            </w:pPr>
            <w:r>
              <w:rPr>
                <w:i/>
                <w:sz w:val="22"/>
              </w:rPr>
              <w:t xml:space="preserve">STATUTORY EMPLOYEE </w:t>
            </w:r>
            <w:r>
              <w:rPr>
                <w:sz w:val="22"/>
              </w:rPr>
              <w:t>- Employee's FIT Status is equal to 1 and FICA Status not equal to a 1 on the H0BAD screen.  Note: DOA will override this indicator unless specifically requested by the agency in writing.</w:t>
            </w:r>
          </w:p>
          <w:p w14:paraId="17786D05" w14:textId="77777777" w:rsidR="00EA0362" w:rsidRDefault="00EA0362">
            <w:pPr>
              <w:tabs>
                <w:tab w:val="left" w:pos="1080"/>
                <w:tab w:val="left" w:pos="3312"/>
              </w:tabs>
              <w:rPr>
                <w:sz w:val="22"/>
              </w:rPr>
            </w:pPr>
          </w:p>
          <w:p w14:paraId="01FB2120" w14:textId="77777777" w:rsidR="006800C0" w:rsidRDefault="00EA0362" w:rsidP="006800C0">
            <w:pPr>
              <w:pStyle w:val="TableText"/>
              <w:rPr>
                <w:sz w:val="22"/>
              </w:rPr>
            </w:pPr>
            <w:r>
              <w:rPr>
                <w:i/>
                <w:sz w:val="22"/>
              </w:rPr>
              <w:t xml:space="preserve">RETIREMENT PLAN - </w:t>
            </w:r>
            <w:r>
              <w:rPr>
                <w:sz w:val="22"/>
              </w:rPr>
              <w:t xml:space="preserve">If employee was an active participant in a retirement plan for any part of a year.  Contributions to non-qualified plans or 457 plans are </w:t>
            </w:r>
            <w:r w:rsidRPr="00F722B9">
              <w:rPr>
                <w:sz w:val="22"/>
              </w:rPr>
              <w:t xml:space="preserve">excluded.  </w:t>
            </w:r>
            <w:r w:rsidR="00AE639D" w:rsidRPr="00A506DD">
              <w:rPr>
                <w:sz w:val="22"/>
              </w:rPr>
              <w:t>Contributions to 403(b) plans are included.</w:t>
            </w:r>
          </w:p>
          <w:p w14:paraId="1A3286F8" w14:textId="77777777" w:rsidR="006F0060" w:rsidRPr="00F722B9" w:rsidRDefault="006F0060" w:rsidP="006800C0">
            <w:pPr>
              <w:pStyle w:val="TableText"/>
              <w:rPr>
                <w:sz w:val="22"/>
              </w:rPr>
            </w:pPr>
          </w:p>
          <w:p w14:paraId="1F70905F" w14:textId="77777777" w:rsidR="00EA0362" w:rsidRDefault="00EA0362">
            <w:pPr>
              <w:pStyle w:val="TableText"/>
              <w:rPr>
                <w:sz w:val="22"/>
              </w:rPr>
            </w:pPr>
            <w:r>
              <w:rPr>
                <w:i/>
                <w:sz w:val="22"/>
              </w:rPr>
              <w:t xml:space="preserve">THIRD PARTY SICK PAY - </w:t>
            </w:r>
            <w:r>
              <w:rPr>
                <w:sz w:val="22"/>
              </w:rPr>
              <w:t>Not applicable.</w:t>
            </w:r>
          </w:p>
        </w:tc>
      </w:tr>
      <w:tr w:rsidR="00EA0362" w14:paraId="1ABB6377"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2D37DDCF" w14:textId="77777777" w:rsidR="00EA0362" w:rsidRDefault="00EA0362">
            <w:pPr>
              <w:pStyle w:val="TableText"/>
              <w:rPr>
                <w:sz w:val="22"/>
              </w:rPr>
            </w:pPr>
            <w:r>
              <w:rPr>
                <w:sz w:val="22"/>
              </w:rPr>
              <w:t>14</w:t>
            </w:r>
          </w:p>
        </w:tc>
        <w:tc>
          <w:tcPr>
            <w:tcW w:w="2258" w:type="dxa"/>
            <w:tcBorders>
              <w:top w:val="single" w:sz="6" w:space="0" w:color="auto"/>
              <w:left w:val="single" w:sz="6" w:space="0" w:color="auto"/>
              <w:bottom w:val="single" w:sz="6" w:space="0" w:color="auto"/>
              <w:right w:val="single" w:sz="6" w:space="0" w:color="auto"/>
            </w:tcBorders>
          </w:tcPr>
          <w:p w14:paraId="53450EDD" w14:textId="77777777" w:rsidR="00EA0362" w:rsidRDefault="00EA0362">
            <w:pPr>
              <w:pStyle w:val="TableText"/>
              <w:rPr>
                <w:sz w:val="22"/>
              </w:rPr>
            </w:pPr>
            <w:r>
              <w:rPr>
                <w:sz w:val="22"/>
              </w:rPr>
              <w:t>Other</w:t>
            </w:r>
          </w:p>
        </w:tc>
        <w:tc>
          <w:tcPr>
            <w:tcW w:w="5310" w:type="dxa"/>
            <w:tcBorders>
              <w:top w:val="single" w:sz="6" w:space="0" w:color="auto"/>
              <w:left w:val="single" w:sz="6" w:space="0" w:color="auto"/>
              <w:bottom w:val="single" w:sz="6" w:space="0" w:color="auto"/>
              <w:right w:val="single" w:sz="6" w:space="0" w:color="auto"/>
            </w:tcBorders>
          </w:tcPr>
          <w:p w14:paraId="1B5804C3" w14:textId="6A8DEB3D" w:rsidR="00612600" w:rsidRPr="001E381E" w:rsidRDefault="001E381E" w:rsidP="00525920">
            <w:pPr>
              <w:pStyle w:val="TableText"/>
              <w:rPr>
                <w:sz w:val="22"/>
              </w:rPr>
            </w:pPr>
            <w:r>
              <w:rPr>
                <w:i/>
                <w:sz w:val="22"/>
              </w:rPr>
              <w:t xml:space="preserve">Company Car – </w:t>
            </w:r>
            <w:r>
              <w:rPr>
                <w:sz w:val="22"/>
              </w:rPr>
              <w:t xml:space="preserve">Special Pay 07 – </w:t>
            </w:r>
            <w:smartTag w:uri="urn:schemas-microsoft-com:office:smarttags" w:element="place">
              <w:r>
                <w:rPr>
                  <w:sz w:val="22"/>
                </w:rPr>
                <w:t>Co.</w:t>
              </w:r>
            </w:smartTag>
            <w:r>
              <w:rPr>
                <w:sz w:val="22"/>
              </w:rPr>
              <w:t xml:space="preserve"> Car</w:t>
            </w:r>
          </w:p>
        </w:tc>
      </w:tr>
      <w:tr w:rsidR="00EA0362" w14:paraId="3811DD53"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21E38FAB" w14:textId="77777777" w:rsidR="00EA0362" w:rsidRDefault="00EA0362">
            <w:pPr>
              <w:pStyle w:val="TableText"/>
              <w:rPr>
                <w:sz w:val="22"/>
              </w:rPr>
            </w:pPr>
            <w:r>
              <w:rPr>
                <w:sz w:val="22"/>
              </w:rPr>
              <w:t>15</w:t>
            </w:r>
          </w:p>
        </w:tc>
        <w:tc>
          <w:tcPr>
            <w:tcW w:w="2258" w:type="dxa"/>
            <w:tcBorders>
              <w:top w:val="single" w:sz="6" w:space="0" w:color="auto"/>
              <w:left w:val="single" w:sz="6" w:space="0" w:color="auto"/>
              <w:bottom w:val="single" w:sz="6" w:space="0" w:color="auto"/>
              <w:right w:val="single" w:sz="6" w:space="0" w:color="auto"/>
            </w:tcBorders>
          </w:tcPr>
          <w:p w14:paraId="320B58E1" w14:textId="77777777" w:rsidR="00EA0362" w:rsidRDefault="00EA0362">
            <w:pPr>
              <w:pStyle w:val="TableText"/>
              <w:rPr>
                <w:sz w:val="22"/>
              </w:rPr>
            </w:pPr>
            <w:r>
              <w:rPr>
                <w:sz w:val="22"/>
              </w:rPr>
              <w:t>State</w:t>
            </w:r>
          </w:p>
        </w:tc>
        <w:tc>
          <w:tcPr>
            <w:tcW w:w="5310" w:type="dxa"/>
            <w:tcBorders>
              <w:top w:val="single" w:sz="6" w:space="0" w:color="auto"/>
              <w:left w:val="single" w:sz="6" w:space="0" w:color="auto"/>
              <w:bottom w:val="single" w:sz="6" w:space="0" w:color="auto"/>
              <w:right w:val="single" w:sz="6" w:space="0" w:color="auto"/>
            </w:tcBorders>
          </w:tcPr>
          <w:p w14:paraId="785D8DB2" w14:textId="77777777" w:rsidR="00EA0362" w:rsidRDefault="00EA0362">
            <w:pPr>
              <w:pStyle w:val="TableText"/>
              <w:rPr>
                <w:sz w:val="22"/>
              </w:rPr>
            </w:pPr>
            <w:r>
              <w:rPr>
                <w:sz w:val="22"/>
              </w:rPr>
              <w:t>Two-character abbreviation of the state and the employer’s identification number.</w:t>
            </w:r>
          </w:p>
        </w:tc>
      </w:tr>
      <w:tr w:rsidR="00EA0362" w14:paraId="24D9B314"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20649624" w14:textId="77777777" w:rsidR="00EA0362" w:rsidRDefault="00EA0362">
            <w:pPr>
              <w:pStyle w:val="TableText"/>
              <w:rPr>
                <w:sz w:val="22"/>
              </w:rPr>
            </w:pPr>
            <w:r>
              <w:rPr>
                <w:sz w:val="22"/>
              </w:rPr>
              <w:t>16</w:t>
            </w:r>
          </w:p>
        </w:tc>
        <w:tc>
          <w:tcPr>
            <w:tcW w:w="2258" w:type="dxa"/>
            <w:tcBorders>
              <w:top w:val="single" w:sz="6" w:space="0" w:color="auto"/>
              <w:left w:val="single" w:sz="6" w:space="0" w:color="auto"/>
              <w:bottom w:val="single" w:sz="6" w:space="0" w:color="auto"/>
              <w:right w:val="single" w:sz="6" w:space="0" w:color="auto"/>
            </w:tcBorders>
          </w:tcPr>
          <w:p w14:paraId="4DE0A683" w14:textId="77777777" w:rsidR="00EA0362" w:rsidRDefault="00EA0362">
            <w:pPr>
              <w:pStyle w:val="TableText"/>
              <w:rPr>
                <w:sz w:val="22"/>
              </w:rPr>
            </w:pPr>
            <w:r>
              <w:rPr>
                <w:sz w:val="22"/>
              </w:rPr>
              <w:t>State Wages, Tips, Etc.</w:t>
            </w:r>
          </w:p>
        </w:tc>
        <w:tc>
          <w:tcPr>
            <w:tcW w:w="5310" w:type="dxa"/>
            <w:tcBorders>
              <w:top w:val="single" w:sz="6" w:space="0" w:color="auto"/>
              <w:left w:val="single" w:sz="6" w:space="0" w:color="auto"/>
              <w:bottom w:val="single" w:sz="6" w:space="0" w:color="auto"/>
              <w:right w:val="single" w:sz="6" w:space="0" w:color="auto"/>
            </w:tcBorders>
          </w:tcPr>
          <w:p w14:paraId="3E60DBB6" w14:textId="77777777" w:rsidR="00EA0362" w:rsidRDefault="00EA0362">
            <w:pPr>
              <w:pStyle w:val="TableText"/>
              <w:rPr>
                <w:sz w:val="22"/>
              </w:rPr>
            </w:pPr>
            <w:r>
              <w:rPr>
                <w:sz w:val="22"/>
              </w:rPr>
              <w:t>Amount of state taxable wages.  This can include imputed life and may also include any company-paid DI tax.</w:t>
            </w:r>
          </w:p>
        </w:tc>
      </w:tr>
      <w:tr w:rsidR="00EA0362" w14:paraId="091EFD17"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4EB7D790" w14:textId="77777777" w:rsidR="00EA0362" w:rsidRDefault="00EA0362">
            <w:pPr>
              <w:pStyle w:val="TableText"/>
              <w:rPr>
                <w:sz w:val="22"/>
              </w:rPr>
            </w:pPr>
            <w:r>
              <w:rPr>
                <w:sz w:val="22"/>
              </w:rPr>
              <w:t>17</w:t>
            </w:r>
          </w:p>
        </w:tc>
        <w:tc>
          <w:tcPr>
            <w:tcW w:w="2258" w:type="dxa"/>
            <w:tcBorders>
              <w:top w:val="single" w:sz="6" w:space="0" w:color="auto"/>
              <w:left w:val="single" w:sz="6" w:space="0" w:color="auto"/>
              <w:bottom w:val="single" w:sz="6" w:space="0" w:color="auto"/>
              <w:right w:val="single" w:sz="6" w:space="0" w:color="auto"/>
            </w:tcBorders>
          </w:tcPr>
          <w:p w14:paraId="7DD58C38" w14:textId="77777777" w:rsidR="00EA0362" w:rsidRDefault="00EA0362">
            <w:pPr>
              <w:pStyle w:val="TableText"/>
              <w:rPr>
                <w:sz w:val="22"/>
              </w:rPr>
            </w:pPr>
            <w:r>
              <w:rPr>
                <w:sz w:val="22"/>
              </w:rPr>
              <w:t>State Income Tax</w:t>
            </w:r>
          </w:p>
        </w:tc>
        <w:tc>
          <w:tcPr>
            <w:tcW w:w="5310" w:type="dxa"/>
            <w:tcBorders>
              <w:top w:val="single" w:sz="6" w:space="0" w:color="auto"/>
              <w:left w:val="single" w:sz="6" w:space="0" w:color="auto"/>
              <w:bottom w:val="single" w:sz="6" w:space="0" w:color="auto"/>
              <w:right w:val="single" w:sz="6" w:space="0" w:color="auto"/>
            </w:tcBorders>
          </w:tcPr>
          <w:p w14:paraId="0471498B" w14:textId="77777777" w:rsidR="00EA0362" w:rsidRDefault="00EA0362">
            <w:pPr>
              <w:pStyle w:val="TableText"/>
              <w:rPr>
                <w:sz w:val="22"/>
              </w:rPr>
            </w:pPr>
            <w:r>
              <w:rPr>
                <w:sz w:val="22"/>
              </w:rPr>
              <w:t>Amount of state income tax withheld</w:t>
            </w:r>
          </w:p>
        </w:tc>
      </w:tr>
      <w:tr w:rsidR="00EA0362" w14:paraId="0753BAC2"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04E0198D" w14:textId="77777777" w:rsidR="00EA0362" w:rsidRDefault="00EA0362">
            <w:pPr>
              <w:pStyle w:val="TableText"/>
              <w:rPr>
                <w:sz w:val="22"/>
              </w:rPr>
            </w:pPr>
            <w:r>
              <w:rPr>
                <w:sz w:val="22"/>
              </w:rPr>
              <w:t>18</w:t>
            </w:r>
          </w:p>
        </w:tc>
        <w:tc>
          <w:tcPr>
            <w:tcW w:w="2258" w:type="dxa"/>
            <w:tcBorders>
              <w:top w:val="single" w:sz="6" w:space="0" w:color="auto"/>
              <w:left w:val="single" w:sz="6" w:space="0" w:color="auto"/>
              <w:bottom w:val="single" w:sz="6" w:space="0" w:color="auto"/>
              <w:right w:val="single" w:sz="6" w:space="0" w:color="auto"/>
            </w:tcBorders>
          </w:tcPr>
          <w:p w14:paraId="2440E08F" w14:textId="77777777" w:rsidR="00EA0362" w:rsidRDefault="00EA0362">
            <w:pPr>
              <w:pStyle w:val="TableText"/>
              <w:rPr>
                <w:sz w:val="22"/>
              </w:rPr>
            </w:pPr>
            <w:r>
              <w:rPr>
                <w:sz w:val="22"/>
              </w:rPr>
              <w:t>Locality Name</w:t>
            </w:r>
          </w:p>
        </w:tc>
        <w:tc>
          <w:tcPr>
            <w:tcW w:w="5310" w:type="dxa"/>
            <w:tcBorders>
              <w:top w:val="single" w:sz="6" w:space="0" w:color="auto"/>
              <w:left w:val="single" w:sz="6" w:space="0" w:color="auto"/>
              <w:bottom w:val="single" w:sz="6" w:space="0" w:color="auto"/>
              <w:right w:val="single" w:sz="6" w:space="0" w:color="auto"/>
            </w:tcBorders>
          </w:tcPr>
          <w:p w14:paraId="67F3997A" w14:textId="77777777" w:rsidR="00EA0362" w:rsidRDefault="00EA0362">
            <w:pPr>
              <w:pStyle w:val="TableText"/>
              <w:rPr>
                <w:sz w:val="22"/>
              </w:rPr>
            </w:pPr>
            <w:r>
              <w:rPr>
                <w:sz w:val="22"/>
              </w:rPr>
              <w:t xml:space="preserve">Name of the local taxing entity.  </w:t>
            </w:r>
          </w:p>
        </w:tc>
      </w:tr>
      <w:tr w:rsidR="00EA0362" w14:paraId="5A26B7E2"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32306B5C" w14:textId="77777777" w:rsidR="00EA0362" w:rsidRDefault="00EA0362">
            <w:pPr>
              <w:pStyle w:val="TableText"/>
              <w:rPr>
                <w:sz w:val="22"/>
              </w:rPr>
            </w:pPr>
            <w:r>
              <w:rPr>
                <w:sz w:val="22"/>
              </w:rPr>
              <w:t>19</w:t>
            </w:r>
          </w:p>
        </w:tc>
        <w:tc>
          <w:tcPr>
            <w:tcW w:w="2258" w:type="dxa"/>
            <w:tcBorders>
              <w:top w:val="single" w:sz="6" w:space="0" w:color="auto"/>
              <w:left w:val="single" w:sz="6" w:space="0" w:color="auto"/>
              <w:bottom w:val="single" w:sz="6" w:space="0" w:color="auto"/>
              <w:right w:val="single" w:sz="6" w:space="0" w:color="auto"/>
            </w:tcBorders>
          </w:tcPr>
          <w:p w14:paraId="06937BD2" w14:textId="77777777" w:rsidR="00EA0362" w:rsidRDefault="00EA0362">
            <w:pPr>
              <w:pStyle w:val="TableText"/>
              <w:rPr>
                <w:sz w:val="22"/>
              </w:rPr>
            </w:pPr>
            <w:r>
              <w:rPr>
                <w:sz w:val="22"/>
              </w:rPr>
              <w:t>Local Wages, Tips, Etc.</w:t>
            </w:r>
          </w:p>
        </w:tc>
        <w:tc>
          <w:tcPr>
            <w:tcW w:w="5310" w:type="dxa"/>
            <w:tcBorders>
              <w:top w:val="single" w:sz="6" w:space="0" w:color="auto"/>
              <w:left w:val="single" w:sz="6" w:space="0" w:color="auto"/>
              <w:bottom w:val="single" w:sz="6" w:space="0" w:color="auto"/>
              <w:right w:val="single" w:sz="6" w:space="0" w:color="auto"/>
            </w:tcBorders>
          </w:tcPr>
          <w:p w14:paraId="6301E122" w14:textId="77777777" w:rsidR="00EA0362" w:rsidRDefault="00EA0362">
            <w:pPr>
              <w:pStyle w:val="TableText"/>
              <w:rPr>
                <w:sz w:val="22"/>
              </w:rPr>
            </w:pPr>
            <w:r>
              <w:rPr>
                <w:sz w:val="22"/>
              </w:rPr>
              <w:t xml:space="preserve">Amount of local taxable wages.  (Note: For </w:t>
            </w:r>
            <w:smartTag w:uri="urn:schemas-microsoft-com:office:smarttags" w:element="State">
              <w:smartTag w:uri="urn:schemas-microsoft-com:office:smarttags" w:element="place">
                <w:r>
                  <w:rPr>
                    <w:sz w:val="22"/>
                  </w:rPr>
                  <w:t>Maryland</w:t>
                </w:r>
              </w:smartTag>
            </w:smartTag>
            <w:r>
              <w:rPr>
                <w:sz w:val="22"/>
              </w:rPr>
              <w:t xml:space="preserve"> these amounts are reported with State.)</w:t>
            </w:r>
          </w:p>
        </w:tc>
      </w:tr>
      <w:tr w:rsidR="00EA0362" w14:paraId="61E7A381" w14:textId="77777777" w:rsidTr="00DD148D">
        <w:trPr>
          <w:cantSplit/>
          <w:jc w:val="right"/>
        </w:trPr>
        <w:tc>
          <w:tcPr>
            <w:tcW w:w="802" w:type="dxa"/>
            <w:tcBorders>
              <w:top w:val="single" w:sz="6" w:space="0" w:color="auto"/>
              <w:left w:val="single" w:sz="6" w:space="0" w:color="auto"/>
              <w:bottom w:val="single" w:sz="6" w:space="0" w:color="auto"/>
              <w:right w:val="single" w:sz="6" w:space="0" w:color="auto"/>
            </w:tcBorders>
          </w:tcPr>
          <w:p w14:paraId="1A692D79" w14:textId="77777777" w:rsidR="00EA0362" w:rsidRDefault="00EA0362">
            <w:pPr>
              <w:pStyle w:val="TableText"/>
              <w:rPr>
                <w:sz w:val="22"/>
              </w:rPr>
            </w:pPr>
            <w:r>
              <w:rPr>
                <w:sz w:val="22"/>
              </w:rPr>
              <w:t>20</w:t>
            </w:r>
          </w:p>
        </w:tc>
        <w:tc>
          <w:tcPr>
            <w:tcW w:w="2258" w:type="dxa"/>
            <w:tcBorders>
              <w:top w:val="single" w:sz="6" w:space="0" w:color="auto"/>
              <w:left w:val="single" w:sz="6" w:space="0" w:color="auto"/>
              <w:bottom w:val="single" w:sz="6" w:space="0" w:color="auto"/>
              <w:right w:val="single" w:sz="6" w:space="0" w:color="auto"/>
            </w:tcBorders>
          </w:tcPr>
          <w:p w14:paraId="500242AA" w14:textId="77777777" w:rsidR="00EA0362" w:rsidRDefault="00EA0362">
            <w:pPr>
              <w:pStyle w:val="TableText"/>
              <w:rPr>
                <w:sz w:val="22"/>
              </w:rPr>
            </w:pPr>
            <w:r>
              <w:rPr>
                <w:sz w:val="22"/>
              </w:rPr>
              <w:t>Local Income Tax</w:t>
            </w:r>
          </w:p>
        </w:tc>
        <w:tc>
          <w:tcPr>
            <w:tcW w:w="5310" w:type="dxa"/>
            <w:tcBorders>
              <w:top w:val="single" w:sz="6" w:space="0" w:color="auto"/>
              <w:left w:val="single" w:sz="6" w:space="0" w:color="auto"/>
              <w:bottom w:val="single" w:sz="6" w:space="0" w:color="auto"/>
              <w:right w:val="single" w:sz="6" w:space="0" w:color="auto"/>
            </w:tcBorders>
          </w:tcPr>
          <w:p w14:paraId="01C44715" w14:textId="77777777" w:rsidR="00EA0362" w:rsidRDefault="00EA0362">
            <w:pPr>
              <w:pStyle w:val="TableText"/>
              <w:rPr>
                <w:sz w:val="22"/>
              </w:rPr>
            </w:pPr>
            <w:r>
              <w:rPr>
                <w:sz w:val="22"/>
              </w:rPr>
              <w:t xml:space="preserve">Amount of local income tax. (Note: For </w:t>
            </w:r>
            <w:smartTag w:uri="urn:schemas-microsoft-com:office:smarttags" w:element="State">
              <w:smartTag w:uri="urn:schemas-microsoft-com:office:smarttags" w:element="place">
                <w:r>
                  <w:rPr>
                    <w:sz w:val="22"/>
                  </w:rPr>
                  <w:t>Maryland</w:t>
                </w:r>
              </w:smartTag>
            </w:smartTag>
            <w:r>
              <w:rPr>
                <w:sz w:val="22"/>
              </w:rPr>
              <w:t xml:space="preserve"> these amounts are reported with State Tax.)</w:t>
            </w:r>
          </w:p>
        </w:tc>
      </w:tr>
    </w:tbl>
    <w:p w14:paraId="0E787285" w14:textId="77777777" w:rsidR="00EA0362" w:rsidRDefault="00EA0362">
      <w:pPr>
        <w:pStyle w:val="BlockLine"/>
      </w:pPr>
    </w:p>
    <w:p w14:paraId="3DCE1CF4" w14:textId="010A47F5" w:rsidR="00CA7602" w:rsidRPr="008B3B89" w:rsidRDefault="00CA7602" w:rsidP="00CA7602">
      <w:pPr>
        <w:pStyle w:val="Heading4"/>
        <w:spacing w:after="120"/>
        <w:rPr>
          <w:rFonts w:ascii="Times New Roman" w:hAnsi="Times New Roman"/>
          <w:sz w:val="28"/>
          <w:szCs w:val="28"/>
        </w:rPr>
      </w:pPr>
    </w:p>
    <w:sectPr w:rsidR="00CA7602" w:rsidRPr="008B3B89" w:rsidSect="00EA40BB">
      <w:headerReference w:type="default" r:id="rId13"/>
      <w:pgSz w:w="12240" w:h="15840" w:code="1"/>
      <w:pgMar w:top="245" w:right="1080" w:bottom="187" w:left="1080" w:header="8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F1899" w14:textId="77777777" w:rsidR="00DA50E6" w:rsidRDefault="00DA50E6">
      <w:r>
        <w:separator/>
      </w:r>
    </w:p>
    <w:p w14:paraId="7BBF565B" w14:textId="77777777" w:rsidR="00DA50E6" w:rsidRDefault="00DA50E6"/>
  </w:endnote>
  <w:endnote w:type="continuationSeparator" w:id="0">
    <w:p w14:paraId="7F1BA8BC" w14:textId="77777777" w:rsidR="00DA50E6" w:rsidRDefault="00DA50E6">
      <w:r>
        <w:continuationSeparator/>
      </w:r>
    </w:p>
    <w:p w14:paraId="63252968" w14:textId="77777777" w:rsidR="00DA50E6" w:rsidRDefault="00DA50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75040" w14:textId="77777777" w:rsidR="00DA50E6" w:rsidRDefault="00DA50E6">
      <w:r>
        <w:separator/>
      </w:r>
    </w:p>
    <w:p w14:paraId="013E8AAF" w14:textId="77777777" w:rsidR="00DA50E6" w:rsidRDefault="00DA50E6"/>
  </w:footnote>
  <w:footnote w:type="continuationSeparator" w:id="0">
    <w:p w14:paraId="5B93D4F0" w14:textId="77777777" w:rsidR="00DA50E6" w:rsidRDefault="00DA50E6">
      <w:r>
        <w:continuationSeparator/>
      </w:r>
    </w:p>
    <w:p w14:paraId="515CDE77" w14:textId="77777777" w:rsidR="00DA50E6" w:rsidRDefault="00DA50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6ECF" w14:textId="77777777" w:rsidR="00DA50E6" w:rsidRDefault="00DA50E6" w:rsidP="00B150F5">
    <w:pPr>
      <w:pStyle w:val="Header"/>
      <w:jc w:val="center"/>
      <w:rPr>
        <w:sz w:val="16"/>
      </w:rPr>
    </w:pPr>
  </w:p>
  <w:tbl>
    <w:tblPr>
      <w:tblW w:w="0" w:type="auto"/>
      <w:tblLayout w:type="fixed"/>
      <w:tblLook w:val="0000" w:firstRow="0" w:lastRow="0" w:firstColumn="0" w:lastColumn="0" w:noHBand="0" w:noVBand="0"/>
    </w:tblPr>
    <w:tblGrid>
      <w:gridCol w:w="3366"/>
      <w:gridCol w:w="3366"/>
      <w:gridCol w:w="2916"/>
    </w:tblGrid>
    <w:tr w:rsidR="00DA50E6" w14:paraId="11BE5FBB" w14:textId="77777777" w:rsidTr="006C6FE0">
      <w:trPr>
        <w:cantSplit/>
      </w:trPr>
      <w:tc>
        <w:tcPr>
          <w:tcW w:w="3366" w:type="dxa"/>
          <w:tcBorders>
            <w:bottom w:val="double" w:sz="6" w:space="0" w:color="auto"/>
          </w:tcBorders>
        </w:tcPr>
        <w:p w14:paraId="4677D32A" w14:textId="6B737E19" w:rsidR="00DA50E6" w:rsidRDefault="00DA50E6" w:rsidP="006B3B24">
          <w:pPr>
            <w:pStyle w:val="Header"/>
            <w:rPr>
              <w:b/>
              <w:sz w:val="20"/>
            </w:rPr>
          </w:pPr>
          <w:r>
            <w:rPr>
              <w:b/>
              <w:sz w:val="20"/>
            </w:rPr>
            <w:t>Calendar Year 2021</w:t>
          </w:r>
        </w:p>
      </w:tc>
      <w:tc>
        <w:tcPr>
          <w:tcW w:w="3366" w:type="dxa"/>
          <w:tcBorders>
            <w:bottom w:val="double" w:sz="6" w:space="0" w:color="auto"/>
          </w:tcBorders>
        </w:tcPr>
        <w:p w14:paraId="7DECD589" w14:textId="61ADE595" w:rsidR="00DA50E6" w:rsidRDefault="00DA50E6" w:rsidP="008910C3">
          <w:pPr>
            <w:pStyle w:val="Header"/>
            <w:jc w:val="center"/>
            <w:rPr>
              <w:b/>
              <w:sz w:val="20"/>
            </w:rPr>
          </w:pPr>
          <w:r>
            <w:rPr>
              <w:b/>
              <w:sz w:val="20"/>
            </w:rPr>
            <w:t>December 1</w:t>
          </w:r>
          <w:r w:rsidR="008910C3">
            <w:rPr>
              <w:b/>
              <w:sz w:val="20"/>
            </w:rPr>
            <w:t>3</w:t>
          </w:r>
          <w:r>
            <w:rPr>
              <w:b/>
              <w:sz w:val="20"/>
            </w:rPr>
            <w:t>, 2021</w:t>
          </w:r>
        </w:p>
      </w:tc>
      <w:tc>
        <w:tcPr>
          <w:tcW w:w="2916" w:type="dxa"/>
          <w:tcBorders>
            <w:bottom w:val="double" w:sz="6" w:space="0" w:color="auto"/>
          </w:tcBorders>
        </w:tcPr>
        <w:p w14:paraId="01C8DC77" w14:textId="4AD5071C" w:rsidR="00DA50E6" w:rsidRDefault="00DA50E6" w:rsidP="008910C3">
          <w:pPr>
            <w:pStyle w:val="Header"/>
            <w:jc w:val="right"/>
            <w:rPr>
              <w:b/>
              <w:sz w:val="20"/>
            </w:rPr>
          </w:pPr>
          <w:r>
            <w:rPr>
              <w:b/>
              <w:sz w:val="20"/>
            </w:rPr>
            <w:t>Volume 2021-</w:t>
          </w:r>
          <w:r w:rsidR="008910C3">
            <w:rPr>
              <w:b/>
              <w:sz w:val="20"/>
            </w:rPr>
            <w:t>13</w:t>
          </w:r>
        </w:p>
      </w:tc>
    </w:tr>
  </w:tbl>
  <w:p w14:paraId="4F6B39A4" w14:textId="77777777" w:rsidR="00DA50E6" w:rsidRDefault="00DA50E6" w:rsidP="00B15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2008"/>
    <w:multiLevelType w:val="hybridMultilevel"/>
    <w:tmpl w:val="B058AF2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F14B7"/>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5E1842"/>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BE3D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6F6462"/>
    <w:multiLevelType w:val="singleLevel"/>
    <w:tmpl w:val="206AEAD2"/>
    <w:lvl w:ilvl="0">
      <w:start w:val="1"/>
      <w:numFmt w:val="bullet"/>
      <w:lvlText w:val=""/>
      <w:lvlJc w:val="left"/>
      <w:pPr>
        <w:tabs>
          <w:tab w:val="num" w:pos="720"/>
        </w:tabs>
        <w:ind w:left="720" w:hanging="360"/>
      </w:pPr>
      <w:rPr>
        <w:rFonts w:ascii="Wingdings" w:hAnsi="Wingdings" w:hint="default"/>
      </w:rPr>
    </w:lvl>
  </w:abstractNum>
  <w:abstractNum w:abstractNumId="6" w15:restartNumberingAfterBreak="0">
    <w:nsid w:val="0AC276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285BD8"/>
    <w:multiLevelType w:val="singleLevel"/>
    <w:tmpl w:val="5B8C9E12"/>
    <w:lvl w:ilvl="0">
      <w:start w:val="1"/>
      <w:numFmt w:val="decimal"/>
      <w:lvlText w:val="%1."/>
      <w:legacy w:legacy="1" w:legacySpace="0" w:legacyIndent="360"/>
      <w:lvlJc w:val="left"/>
      <w:pPr>
        <w:ind w:left="360" w:hanging="360"/>
      </w:pPr>
    </w:lvl>
  </w:abstractNum>
  <w:abstractNum w:abstractNumId="8" w15:restartNumberingAfterBreak="0">
    <w:nsid w:val="13BB2C94"/>
    <w:multiLevelType w:val="hybridMultilevel"/>
    <w:tmpl w:val="D8364028"/>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9" w15:restartNumberingAfterBreak="0">
    <w:nsid w:val="16185B1C"/>
    <w:multiLevelType w:val="hybridMultilevel"/>
    <w:tmpl w:val="F97218C6"/>
    <w:lvl w:ilvl="0" w:tplc="B734F010">
      <w:start w:val="2"/>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62C58E1"/>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CA594E"/>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F8D2DE5"/>
    <w:multiLevelType w:val="hybridMultilevel"/>
    <w:tmpl w:val="C0342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E74AD4"/>
    <w:multiLevelType w:val="hybridMultilevel"/>
    <w:tmpl w:val="E7843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4454DC"/>
    <w:multiLevelType w:val="singleLevel"/>
    <w:tmpl w:val="77CC4CD0"/>
    <w:lvl w:ilvl="0">
      <w:start w:val="1"/>
      <w:numFmt w:val="decimal"/>
      <w:lvlText w:val="%1."/>
      <w:legacy w:legacy="1" w:legacySpace="0" w:legacyIndent="360"/>
      <w:lvlJc w:val="left"/>
      <w:pPr>
        <w:ind w:left="360" w:hanging="360"/>
      </w:pPr>
    </w:lvl>
  </w:abstractNum>
  <w:abstractNum w:abstractNumId="15" w15:restartNumberingAfterBreak="0">
    <w:nsid w:val="261D5EA9"/>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C10E60"/>
    <w:multiLevelType w:val="singleLevel"/>
    <w:tmpl w:val="567669BA"/>
    <w:lvl w:ilvl="0">
      <w:start w:val="1"/>
      <w:numFmt w:val="decimal"/>
      <w:lvlText w:val="%1"/>
      <w:legacy w:legacy="1" w:legacySpace="0" w:legacyIndent="360"/>
      <w:lvlJc w:val="left"/>
      <w:pPr>
        <w:ind w:left="360" w:hanging="360"/>
      </w:pPr>
    </w:lvl>
  </w:abstractNum>
  <w:abstractNum w:abstractNumId="17" w15:restartNumberingAfterBreak="0">
    <w:nsid w:val="2AF81D67"/>
    <w:multiLevelType w:val="singleLevel"/>
    <w:tmpl w:val="206AEAD2"/>
    <w:lvl w:ilvl="0">
      <w:start w:val="1"/>
      <w:numFmt w:val="bullet"/>
      <w:lvlText w:val=""/>
      <w:lvlJc w:val="left"/>
      <w:pPr>
        <w:tabs>
          <w:tab w:val="num" w:pos="720"/>
        </w:tabs>
        <w:ind w:left="720" w:hanging="360"/>
      </w:pPr>
      <w:rPr>
        <w:rFonts w:ascii="Wingdings" w:hAnsi="Wingdings" w:hint="default"/>
      </w:rPr>
    </w:lvl>
  </w:abstractNum>
  <w:abstractNum w:abstractNumId="18" w15:restartNumberingAfterBreak="0">
    <w:nsid w:val="30B72500"/>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C5D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A97E62"/>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3B2423E"/>
    <w:multiLevelType w:val="hybridMultilevel"/>
    <w:tmpl w:val="290AC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77853"/>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5644599"/>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BD316EF"/>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F5B1C4B"/>
    <w:multiLevelType w:val="singleLevel"/>
    <w:tmpl w:val="FFFFFFFF"/>
    <w:lvl w:ilvl="0">
      <w:numFmt w:val="decimal"/>
      <w:lvlText w:val="*"/>
      <w:lvlJc w:val="left"/>
    </w:lvl>
  </w:abstractNum>
  <w:abstractNum w:abstractNumId="26" w15:restartNumberingAfterBreak="0">
    <w:nsid w:val="508F4AD9"/>
    <w:multiLevelType w:val="hybridMultilevel"/>
    <w:tmpl w:val="7B668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62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24322CE"/>
    <w:multiLevelType w:val="hybridMultilevel"/>
    <w:tmpl w:val="EE92D78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9" w15:restartNumberingAfterBreak="0">
    <w:nsid w:val="539D76B9"/>
    <w:multiLevelType w:val="singleLevel"/>
    <w:tmpl w:val="5A74AB5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3E82BC5"/>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D52286"/>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3807EF"/>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674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FF5662"/>
    <w:multiLevelType w:val="singleLevel"/>
    <w:tmpl w:val="5A74AB5E"/>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443E10"/>
    <w:multiLevelType w:val="singleLevel"/>
    <w:tmpl w:val="206AEAD2"/>
    <w:lvl w:ilvl="0">
      <w:start w:val="1"/>
      <w:numFmt w:val="bullet"/>
      <w:lvlText w:val=""/>
      <w:lvlJc w:val="left"/>
      <w:pPr>
        <w:tabs>
          <w:tab w:val="num" w:pos="720"/>
        </w:tabs>
        <w:ind w:left="720" w:hanging="360"/>
      </w:pPr>
      <w:rPr>
        <w:rFonts w:ascii="Wingdings" w:hAnsi="Wingdings" w:hint="default"/>
      </w:rPr>
    </w:lvl>
  </w:abstractNum>
  <w:abstractNum w:abstractNumId="36" w15:restartNumberingAfterBreak="0">
    <w:nsid w:val="68721AF7"/>
    <w:multiLevelType w:val="singleLevel"/>
    <w:tmpl w:val="8EEEE80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88F0AA7"/>
    <w:multiLevelType w:val="singleLevel"/>
    <w:tmpl w:val="E51CFACC"/>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C2B0C16"/>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3BC4DFF"/>
    <w:multiLevelType w:val="singleLevel"/>
    <w:tmpl w:val="7C38F116"/>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5E068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1" w15:restartNumberingAfterBreak="0">
    <w:nsid w:val="7AA141D7"/>
    <w:multiLevelType w:val="singleLevel"/>
    <w:tmpl w:val="5A74AB5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29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F4D77B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14"/>
  </w:num>
  <w:num w:numId="3">
    <w:abstractNumId w:val="14"/>
    <w:lvlOverride w:ilvl="0">
      <w:lvl w:ilvl="0">
        <w:start w:val="1"/>
        <w:numFmt w:val="decimal"/>
        <w:lvlText w:val="%1."/>
        <w:legacy w:legacy="1" w:legacySpace="0" w:legacyIndent="360"/>
        <w:lvlJc w:val="left"/>
        <w:pPr>
          <w:ind w:left="360" w:hanging="360"/>
        </w:pPr>
      </w:lvl>
    </w:lvlOverride>
  </w:num>
  <w:num w:numId="4">
    <w:abstractNumId w:val="7"/>
  </w:num>
  <w:num w:numId="5">
    <w:abstractNumId w:val="7"/>
    <w:lvlOverride w:ilvl="0">
      <w:lvl w:ilvl="0">
        <w:start w:val="1"/>
        <w:numFmt w:val="decimal"/>
        <w:lvlText w:val="%1."/>
        <w:legacy w:legacy="1" w:legacySpace="0" w:legacyIndent="360"/>
        <w:lvlJc w:val="left"/>
        <w:pPr>
          <w:ind w:left="360" w:hanging="360"/>
        </w:pPr>
      </w:lvl>
    </w:lvlOverride>
  </w:num>
  <w:num w:numId="6">
    <w:abstractNumId w:val="16"/>
  </w:num>
  <w:num w:numId="7">
    <w:abstractNumId w:val="33"/>
  </w:num>
  <w:num w:numId="8">
    <w:abstractNumId w:val="29"/>
  </w:num>
  <w:num w:numId="9">
    <w:abstractNumId w:val="34"/>
  </w:num>
  <w:num w:numId="10">
    <w:abstractNumId w:val="41"/>
  </w:num>
  <w:num w:numId="11">
    <w:abstractNumId w:val="11"/>
  </w:num>
  <w:num w:numId="12">
    <w:abstractNumId w:val="23"/>
  </w:num>
  <w:num w:numId="13">
    <w:abstractNumId w:val="20"/>
  </w:num>
  <w:num w:numId="14">
    <w:abstractNumId w:val="22"/>
  </w:num>
  <w:num w:numId="15">
    <w:abstractNumId w:val="37"/>
  </w:num>
  <w:num w:numId="16">
    <w:abstractNumId w:val="5"/>
  </w:num>
  <w:num w:numId="17">
    <w:abstractNumId w:val="35"/>
  </w:num>
  <w:num w:numId="18">
    <w:abstractNumId w:val="17"/>
  </w:num>
  <w:num w:numId="19">
    <w:abstractNumId w:val="15"/>
  </w:num>
  <w:num w:numId="20">
    <w:abstractNumId w:val="24"/>
  </w:num>
  <w:num w:numId="21">
    <w:abstractNumId w:val="38"/>
  </w:num>
  <w:num w:numId="22">
    <w:abstractNumId w:val="31"/>
  </w:num>
  <w:num w:numId="23">
    <w:abstractNumId w:val="39"/>
  </w:num>
  <w:num w:numId="24">
    <w:abstractNumId w:val="27"/>
  </w:num>
  <w:num w:numId="25">
    <w:abstractNumId w:val="43"/>
  </w:num>
  <w:num w:numId="26">
    <w:abstractNumId w:val="6"/>
  </w:num>
  <w:num w:numId="27">
    <w:abstractNumId w:val="19"/>
  </w:num>
  <w:num w:numId="28">
    <w:abstractNumId w:val="40"/>
  </w:num>
  <w:num w:numId="29">
    <w:abstractNumId w:val="42"/>
  </w:num>
  <w:num w:numId="30">
    <w:abstractNumId w:val="4"/>
  </w:num>
  <w:num w:numId="31">
    <w:abstractNumId w:val="10"/>
  </w:num>
  <w:num w:numId="32">
    <w:abstractNumId w:val="32"/>
  </w:num>
  <w:num w:numId="33">
    <w:abstractNumId w:val="2"/>
  </w:num>
  <w:num w:numId="34">
    <w:abstractNumId w:val="3"/>
  </w:num>
  <w:num w:numId="35">
    <w:abstractNumId w:val="30"/>
  </w:num>
  <w:num w:numId="36">
    <w:abstractNumId w:val="36"/>
  </w:num>
  <w:num w:numId="37">
    <w:abstractNumId w:val="18"/>
  </w:num>
  <w:num w:numId="38">
    <w:abstractNumId w:val="28"/>
  </w:num>
  <w:num w:numId="39">
    <w:abstractNumId w:val="8"/>
  </w:num>
  <w:num w:numId="40">
    <w:abstractNumId w:val="9"/>
  </w:num>
  <w:num w:numId="41">
    <w:abstractNumId w:val="26"/>
  </w:num>
  <w:num w:numId="42">
    <w:abstractNumId w:val="21"/>
  </w:num>
  <w:num w:numId="43">
    <w:abstractNumId w:val="13"/>
  </w:num>
  <w:num w:numId="44">
    <w:abstractNumId w:val="12"/>
  </w:num>
  <w:num w:numId="45">
    <w:abstractNumId w:val="1"/>
  </w:num>
  <w:num w:numId="46">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40"/>
    <w:rsid w:val="0000064D"/>
    <w:rsid w:val="000024C2"/>
    <w:rsid w:val="00002903"/>
    <w:rsid w:val="000038C5"/>
    <w:rsid w:val="00004076"/>
    <w:rsid w:val="000042C4"/>
    <w:rsid w:val="0000509A"/>
    <w:rsid w:val="0000576B"/>
    <w:rsid w:val="00007038"/>
    <w:rsid w:val="00012884"/>
    <w:rsid w:val="00014869"/>
    <w:rsid w:val="00017FF3"/>
    <w:rsid w:val="00020ACA"/>
    <w:rsid w:val="00020BBE"/>
    <w:rsid w:val="00020C8B"/>
    <w:rsid w:val="00022B24"/>
    <w:rsid w:val="00022DB4"/>
    <w:rsid w:val="00023D40"/>
    <w:rsid w:val="00024F4C"/>
    <w:rsid w:val="0002586D"/>
    <w:rsid w:val="00027CAB"/>
    <w:rsid w:val="000312BA"/>
    <w:rsid w:val="0003162E"/>
    <w:rsid w:val="00031981"/>
    <w:rsid w:val="00032A78"/>
    <w:rsid w:val="000344A7"/>
    <w:rsid w:val="00036901"/>
    <w:rsid w:val="00040FF4"/>
    <w:rsid w:val="00041B9A"/>
    <w:rsid w:val="000438B2"/>
    <w:rsid w:val="00043F52"/>
    <w:rsid w:val="0004407B"/>
    <w:rsid w:val="00044C4B"/>
    <w:rsid w:val="00046FEB"/>
    <w:rsid w:val="00047447"/>
    <w:rsid w:val="00047AC0"/>
    <w:rsid w:val="00047E2A"/>
    <w:rsid w:val="0005095A"/>
    <w:rsid w:val="000511BD"/>
    <w:rsid w:val="000517DD"/>
    <w:rsid w:val="00051FD9"/>
    <w:rsid w:val="000522AB"/>
    <w:rsid w:val="00052E95"/>
    <w:rsid w:val="00054116"/>
    <w:rsid w:val="0005442C"/>
    <w:rsid w:val="00054D2A"/>
    <w:rsid w:val="00054D85"/>
    <w:rsid w:val="0005533D"/>
    <w:rsid w:val="000557C8"/>
    <w:rsid w:val="000568CC"/>
    <w:rsid w:val="00061336"/>
    <w:rsid w:val="00066794"/>
    <w:rsid w:val="00067187"/>
    <w:rsid w:val="00067FD7"/>
    <w:rsid w:val="00071FD3"/>
    <w:rsid w:val="00075383"/>
    <w:rsid w:val="00077B4E"/>
    <w:rsid w:val="00081207"/>
    <w:rsid w:val="00084BC0"/>
    <w:rsid w:val="00085081"/>
    <w:rsid w:val="0008595D"/>
    <w:rsid w:val="00085BE6"/>
    <w:rsid w:val="00087997"/>
    <w:rsid w:val="000905F8"/>
    <w:rsid w:val="0009064B"/>
    <w:rsid w:val="00093EF3"/>
    <w:rsid w:val="00095B01"/>
    <w:rsid w:val="0009650F"/>
    <w:rsid w:val="00096FC8"/>
    <w:rsid w:val="000A4AC8"/>
    <w:rsid w:val="000A5543"/>
    <w:rsid w:val="000A63F2"/>
    <w:rsid w:val="000B0972"/>
    <w:rsid w:val="000B2026"/>
    <w:rsid w:val="000B2FA8"/>
    <w:rsid w:val="000B33CA"/>
    <w:rsid w:val="000B3AC8"/>
    <w:rsid w:val="000C0DA9"/>
    <w:rsid w:val="000C3EEB"/>
    <w:rsid w:val="000C514C"/>
    <w:rsid w:val="000C5607"/>
    <w:rsid w:val="000C7DAE"/>
    <w:rsid w:val="000D0C0D"/>
    <w:rsid w:val="000D1C2A"/>
    <w:rsid w:val="000D3BF7"/>
    <w:rsid w:val="000D6A70"/>
    <w:rsid w:val="000D7DD4"/>
    <w:rsid w:val="000E076A"/>
    <w:rsid w:val="000E1149"/>
    <w:rsid w:val="000E220C"/>
    <w:rsid w:val="000E2F22"/>
    <w:rsid w:val="000E4513"/>
    <w:rsid w:val="000E4DBD"/>
    <w:rsid w:val="000E5156"/>
    <w:rsid w:val="000E5A03"/>
    <w:rsid w:val="000E687F"/>
    <w:rsid w:val="000E6D7C"/>
    <w:rsid w:val="000E77FA"/>
    <w:rsid w:val="000F0142"/>
    <w:rsid w:val="000F2B6C"/>
    <w:rsid w:val="000F30DA"/>
    <w:rsid w:val="000F4241"/>
    <w:rsid w:val="000F425E"/>
    <w:rsid w:val="000F50E6"/>
    <w:rsid w:val="000F7CC0"/>
    <w:rsid w:val="00101247"/>
    <w:rsid w:val="00102B6D"/>
    <w:rsid w:val="001046FE"/>
    <w:rsid w:val="00105E97"/>
    <w:rsid w:val="00106A21"/>
    <w:rsid w:val="00106AF9"/>
    <w:rsid w:val="00112E82"/>
    <w:rsid w:val="00115AF2"/>
    <w:rsid w:val="00115BA2"/>
    <w:rsid w:val="00117812"/>
    <w:rsid w:val="00117C79"/>
    <w:rsid w:val="00121D10"/>
    <w:rsid w:val="0012271A"/>
    <w:rsid w:val="00124885"/>
    <w:rsid w:val="00125FB4"/>
    <w:rsid w:val="00126003"/>
    <w:rsid w:val="00126CC9"/>
    <w:rsid w:val="00127251"/>
    <w:rsid w:val="00127DB6"/>
    <w:rsid w:val="0013170C"/>
    <w:rsid w:val="00132DF5"/>
    <w:rsid w:val="00136A02"/>
    <w:rsid w:val="00137B7C"/>
    <w:rsid w:val="00137D56"/>
    <w:rsid w:val="001406A5"/>
    <w:rsid w:val="00142E7D"/>
    <w:rsid w:val="00152776"/>
    <w:rsid w:val="00153978"/>
    <w:rsid w:val="00153A63"/>
    <w:rsid w:val="00155B4A"/>
    <w:rsid w:val="001607BA"/>
    <w:rsid w:val="001611CE"/>
    <w:rsid w:val="00161214"/>
    <w:rsid w:val="001613E1"/>
    <w:rsid w:val="00161880"/>
    <w:rsid w:val="001622A4"/>
    <w:rsid w:val="001644FC"/>
    <w:rsid w:val="00164949"/>
    <w:rsid w:val="0016598C"/>
    <w:rsid w:val="001671EC"/>
    <w:rsid w:val="00167684"/>
    <w:rsid w:val="00167DBA"/>
    <w:rsid w:val="0017092A"/>
    <w:rsid w:val="001712FC"/>
    <w:rsid w:val="00171383"/>
    <w:rsid w:val="00172FBA"/>
    <w:rsid w:val="00173036"/>
    <w:rsid w:val="001736BC"/>
    <w:rsid w:val="00174080"/>
    <w:rsid w:val="0017608D"/>
    <w:rsid w:val="00180A28"/>
    <w:rsid w:val="00181774"/>
    <w:rsid w:val="00182A4F"/>
    <w:rsid w:val="0018307C"/>
    <w:rsid w:val="00183D1D"/>
    <w:rsid w:val="00184101"/>
    <w:rsid w:val="00184153"/>
    <w:rsid w:val="00184354"/>
    <w:rsid w:val="00186534"/>
    <w:rsid w:val="00186FCD"/>
    <w:rsid w:val="00187EBF"/>
    <w:rsid w:val="001901F7"/>
    <w:rsid w:val="00190B5B"/>
    <w:rsid w:val="001912E9"/>
    <w:rsid w:val="0019269E"/>
    <w:rsid w:val="0019324E"/>
    <w:rsid w:val="00193865"/>
    <w:rsid w:val="00194141"/>
    <w:rsid w:val="00194639"/>
    <w:rsid w:val="00194F8D"/>
    <w:rsid w:val="00197A59"/>
    <w:rsid w:val="001A0687"/>
    <w:rsid w:val="001A2497"/>
    <w:rsid w:val="001A43E9"/>
    <w:rsid w:val="001A467E"/>
    <w:rsid w:val="001A4D70"/>
    <w:rsid w:val="001A6D6F"/>
    <w:rsid w:val="001A72F3"/>
    <w:rsid w:val="001A7BDE"/>
    <w:rsid w:val="001B10C3"/>
    <w:rsid w:val="001B1EA5"/>
    <w:rsid w:val="001B267D"/>
    <w:rsid w:val="001B2B4F"/>
    <w:rsid w:val="001B2FA9"/>
    <w:rsid w:val="001B32DB"/>
    <w:rsid w:val="001B58A7"/>
    <w:rsid w:val="001B5F3B"/>
    <w:rsid w:val="001B6039"/>
    <w:rsid w:val="001B608B"/>
    <w:rsid w:val="001B6561"/>
    <w:rsid w:val="001C3729"/>
    <w:rsid w:val="001C3E44"/>
    <w:rsid w:val="001C50C5"/>
    <w:rsid w:val="001C5E9E"/>
    <w:rsid w:val="001C6CBC"/>
    <w:rsid w:val="001D0A65"/>
    <w:rsid w:val="001D13E6"/>
    <w:rsid w:val="001D1A66"/>
    <w:rsid w:val="001D1DA8"/>
    <w:rsid w:val="001D3B98"/>
    <w:rsid w:val="001D41C2"/>
    <w:rsid w:val="001D6CED"/>
    <w:rsid w:val="001E0DF1"/>
    <w:rsid w:val="001E2556"/>
    <w:rsid w:val="001E381E"/>
    <w:rsid w:val="001E49BA"/>
    <w:rsid w:val="001E4B1E"/>
    <w:rsid w:val="001E5BFF"/>
    <w:rsid w:val="001E68EB"/>
    <w:rsid w:val="001F1C16"/>
    <w:rsid w:val="001F367D"/>
    <w:rsid w:val="001F38D1"/>
    <w:rsid w:val="001F4685"/>
    <w:rsid w:val="001F55C1"/>
    <w:rsid w:val="001F5690"/>
    <w:rsid w:val="001F585F"/>
    <w:rsid w:val="00200784"/>
    <w:rsid w:val="002024B2"/>
    <w:rsid w:val="00202A1A"/>
    <w:rsid w:val="00202E46"/>
    <w:rsid w:val="00203746"/>
    <w:rsid w:val="00205B31"/>
    <w:rsid w:val="00205E1A"/>
    <w:rsid w:val="0020729B"/>
    <w:rsid w:val="00213583"/>
    <w:rsid w:val="0021418A"/>
    <w:rsid w:val="0021643B"/>
    <w:rsid w:val="0022125C"/>
    <w:rsid w:val="00222C4C"/>
    <w:rsid w:val="002230B6"/>
    <w:rsid w:val="00224F07"/>
    <w:rsid w:val="00225E50"/>
    <w:rsid w:val="00226187"/>
    <w:rsid w:val="00230B04"/>
    <w:rsid w:val="00232121"/>
    <w:rsid w:val="0023260F"/>
    <w:rsid w:val="00233DD2"/>
    <w:rsid w:val="00236F81"/>
    <w:rsid w:val="0023756A"/>
    <w:rsid w:val="0024038B"/>
    <w:rsid w:val="0024069F"/>
    <w:rsid w:val="0024097E"/>
    <w:rsid w:val="00241B62"/>
    <w:rsid w:val="00242A8D"/>
    <w:rsid w:val="002431E6"/>
    <w:rsid w:val="0024325F"/>
    <w:rsid w:val="002432FE"/>
    <w:rsid w:val="00245457"/>
    <w:rsid w:val="00245562"/>
    <w:rsid w:val="0024673C"/>
    <w:rsid w:val="002467FA"/>
    <w:rsid w:val="00246CA7"/>
    <w:rsid w:val="0024797A"/>
    <w:rsid w:val="00250506"/>
    <w:rsid w:val="002519EA"/>
    <w:rsid w:val="00251A27"/>
    <w:rsid w:val="00251DFB"/>
    <w:rsid w:val="002527E4"/>
    <w:rsid w:val="0025365E"/>
    <w:rsid w:val="0025365F"/>
    <w:rsid w:val="0025428A"/>
    <w:rsid w:val="00255641"/>
    <w:rsid w:val="002558C9"/>
    <w:rsid w:val="00255F6B"/>
    <w:rsid w:val="00256B91"/>
    <w:rsid w:val="00256D44"/>
    <w:rsid w:val="00256F02"/>
    <w:rsid w:val="00257DF7"/>
    <w:rsid w:val="002604E3"/>
    <w:rsid w:val="00262CB3"/>
    <w:rsid w:val="00263440"/>
    <w:rsid w:val="00264B90"/>
    <w:rsid w:val="00265B66"/>
    <w:rsid w:val="00266770"/>
    <w:rsid w:val="00267CC7"/>
    <w:rsid w:val="00270D52"/>
    <w:rsid w:val="00271354"/>
    <w:rsid w:val="00271CCA"/>
    <w:rsid w:val="002737A8"/>
    <w:rsid w:val="0027480B"/>
    <w:rsid w:val="0027502C"/>
    <w:rsid w:val="002770A4"/>
    <w:rsid w:val="002772C2"/>
    <w:rsid w:val="00280398"/>
    <w:rsid w:val="00281907"/>
    <w:rsid w:val="00281C7A"/>
    <w:rsid w:val="00282A8A"/>
    <w:rsid w:val="00286376"/>
    <w:rsid w:val="00286B04"/>
    <w:rsid w:val="002940CB"/>
    <w:rsid w:val="00294790"/>
    <w:rsid w:val="00294F32"/>
    <w:rsid w:val="00294FD4"/>
    <w:rsid w:val="002950B8"/>
    <w:rsid w:val="00295C8C"/>
    <w:rsid w:val="00297497"/>
    <w:rsid w:val="002A0A1F"/>
    <w:rsid w:val="002A11C0"/>
    <w:rsid w:val="002A2020"/>
    <w:rsid w:val="002A45C8"/>
    <w:rsid w:val="002A4B9E"/>
    <w:rsid w:val="002A4F1D"/>
    <w:rsid w:val="002A5F45"/>
    <w:rsid w:val="002A62D9"/>
    <w:rsid w:val="002B04C2"/>
    <w:rsid w:val="002B0E53"/>
    <w:rsid w:val="002B2B8E"/>
    <w:rsid w:val="002B45E9"/>
    <w:rsid w:val="002B65D6"/>
    <w:rsid w:val="002B7CDF"/>
    <w:rsid w:val="002C009E"/>
    <w:rsid w:val="002C00D5"/>
    <w:rsid w:val="002C02B2"/>
    <w:rsid w:val="002C26B8"/>
    <w:rsid w:val="002C2C64"/>
    <w:rsid w:val="002C4BA5"/>
    <w:rsid w:val="002C4D61"/>
    <w:rsid w:val="002D10E2"/>
    <w:rsid w:val="002D125E"/>
    <w:rsid w:val="002D1A8C"/>
    <w:rsid w:val="002D2B0E"/>
    <w:rsid w:val="002D61DA"/>
    <w:rsid w:val="002D7D15"/>
    <w:rsid w:val="002E25ED"/>
    <w:rsid w:val="002E3C89"/>
    <w:rsid w:val="002E44E6"/>
    <w:rsid w:val="002E5D1B"/>
    <w:rsid w:val="002E5EF6"/>
    <w:rsid w:val="002E5F2C"/>
    <w:rsid w:val="002E5F2E"/>
    <w:rsid w:val="002E67C5"/>
    <w:rsid w:val="002E6EA5"/>
    <w:rsid w:val="002E79EA"/>
    <w:rsid w:val="002F2DC8"/>
    <w:rsid w:val="002F3741"/>
    <w:rsid w:val="002F448F"/>
    <w:rsid w:val="002F55F9"/>
    <w:rsid w:val="00301FA8"/>
    <w:rsid w:val="003026CD"/>
    <w:rsid w:val="00304B48"/>
    <w:rsid w:val="003052C4"/>
    <w:rsid w:val="00305A33"/>
    <w:rsid w:val="00305A8B"/>
    <w:rsid w:val="00307F46"/>
    <w:rsid w:val="00310B35"/>
    <w:rsid w:val="00310C0D"/>
    <w:rsid w:val="0031188A"/>
    <w:rsid w:val="0031466E"/>
    <w:rsid w:val="00315105"/>
    <w:rsid w:val="003164CC"/>
    <w:rsid w:val="003166A2"/>
    <w:rsid w:val="003170FA"/>
    <w:rsid w:val="0031785C"/>
    <w:rsid w:val="003178CD"/>
    <w:rsid w:val="003179F4"/>
    <w:rsid w:val="0032322A"/>
    <w:rsid w:val="00323C21"/>
    <w:rsid w:val="0032439B"/>
    <w:rsid w:val="00330E82"/>
    <w:rsid w:val="003320DC"/>
    <w:rsid w:val="0033258D"/>
    <w:rsid w:val="00332EA2"/>
    <w:rsid w:val="00333EB2"/>
    <w:rsid w:val="0033790B"/>
    <w:rsid w:val="00337D6D"/>
    <w:rsid w:val="00340B15"/>
    <w:rsid w:val="00341830"/>
    <w:rsid w:val="0034243E"/>
    <w:rsid w:val="003429CF"/>
    <w:rsid w:val="0034389B"/>
    <w:rsid w:val="0034415F"/>
    <w:rsid w:val="00344CF6"/>
    <w:rsid w:val="003454A6"/>
    <w:rsid w:val="00345C77"/>
    <w:rsid w:val="003475BC"/>
    <w:rsid w:val="003475F7"/>
    <w:rsid w:val="0034785D"/>
    <w:rsid w:val="00347E30"/>
    <w:rsid w:val="003510B8"/>
    <w:rsid w:val="00351E5A"/>
    <w:rsid w:val="003525D0"/>
    <w:rsid w:val="003538D1"/>
    <w:rsid w:val="0035418F"/>
    <w:rsid w:val="0035446F"/>
    <w:rsid w:val="00355D4E"/>
    <w:rsid w:val="0035767A"/>
    <w:rsid w:val="0036043A"/>
    <w:rsid w:val="00361229"/>
    <w:rsid w:val="0036138F"/>
    <w:rsid w:val="00362507"/>
    <w:rsid w:val="003650D8"/>
    <w:rsid w:val="00365617"/>
    <w:rsid w:val="003676C9"/>
    <w:rsid w:val="003706A8"/>
    <w:rsid w:val="00370EB4"/>
    <w:rsid w:val="00371794"/>
    <w:rsid w:val="00371799"/>
    <w:rsid w:val="00372C18"/>
    <w:rsid w:val="003751F0"/>
    <w:rsid w:val="00376600"/>
    <w:rsid w:val="003766C4"/>
    <w:rsid w:val="00376884"/>
    <w:rsid w:val="00377883"/>
    <w:rsid w:val="00381F93"/>
    <w:rsid w:val="003828A0"/>
    <w:rsid w:val="003828F3"/>
    <w:rsid w:val="00382E7F"/>
    <w:rsid w:val="0038398D"/>
    <w:rsid w:val="00390022"/>
    <w:rsid w:val="003904C6"/>
    <w:rsid w:val="00390546"/>
    <w:rsid w:val="003908B9"/>
    <w:rsid w:val="00391259"/>
    <w:rsid w:val="00392714"/>
    <w:rsid w:val="0039344C"/>
    <w:rsid w:val="00394D0F"/>
    <w:rsid w:val="00396763"/>
    <w:rsid w:val="003967A9"/>
    <w:rsid w:val="003A09FA"/>
    <w:rsid w:val="003A22D9"/>
    <w:rsid w:val="003A3FEB"/>
    <w:rsid w:val="003A4736"/>
    <w:rsid w:val="003A7E15"/>
    <w:rsid w:val="003B1207"/>
    <w:rsid w:val="003B12F8"/>
    <w:rsid w:val="003B21CC"/>
    <w:rsid w:val="003B24E3"/>
    <w:rsid w:val="003B4E12"/>
    <w:rsid w:val="003B529C"/>
    <w:rsid w:val="003B54CA"/>
    <w:rsid w:val="003B5518"/>
    <w:rsid w:val="003B5ADA"/>
    <w:rsid w:val="003B5D43"/>
    <w:rsid w:val="003B657A"/>
    <w:rsid w:val="003B6F8A"/>
    <w:rsid w:val="003C0317"/>
    <w:rsid w:val="003C1111"/>
    <w:rsid w:val="003C1BBF"/>
    <w:rsid w:val="003C4719"/>
    <w:rsid w:val="003C5313"/>
    <w:rsid w:val="003C6641"/>
    <w:rsid w:val="003D2129"/>
    <w:rsid w:val="003D487A"/>
    <w:rsid w:val="003D4E28"/>
    <w:rsid w:val="003D523D"/>
    <w:rsid w:val="003D74D0"/>
    <w:rsid w:val="003E0F85"/>
    <w:rsid w:val="003E1735"/>
    <w:rsid w:val="003E39CA"/>
    <w:rsid w:val="003E573C"/>
    <w:rsid w:val="003E67A5"/>
    <w:rsid w:val="003F0430"/>
    <w:rsid w:val="003F06DA"/>
    <w:rsid w:val="003F2CF3"/>
    <w:rsid w:val="003F33BE"/>
    <w:rsid w:val="003F5481"/>
    <w:rsid w:val="003F5591"/>
    <w:rsid w:val="003F6F6A"/>
    <w:rsid w:val="003F7B93"/>
    <w:rsid w:val="00401DEC"/>
    <w:rsid w:val="00401EEE"/>
    <w:rsid w:val="00401FB8"/>
    <w:rsid w:val="00402547"/>
    <w:rsid w:val="004064CD"/>
    <w:rsid w:val="0040794D"/>
    <w:rsid w:val="00411964"/>
    <w:rsid w:val="004124D1"/>
    <w:rsid w:val="00412D57"/>
    <w:rsid w:val="004140B9"/>
    <w:rsid w:val="0041522A"/>
    <w:rsid w:val="004153E2"/>
    <w:rsid w:val="004156BF"/>
    <w:rsid w:val="00422CBC"/>
    <w:rsid w:val="00423B13"/>
    <w:rsid w:val="00424587"/>
    <w:rsid w:val="00424D51"/>
    <w:rsid w:val="00425713"/>
    <w:rsid w:val="00426CC1"/>
    <w:rsid w:val="00427609"/>
    <w:rsid w:val="004276A1"/>
    <w:rsid w:val="00432241"/>
    <w:rsid w:val="00432C20"/>
    <w:rsid w:val="00434634"/>
    <w:rsid w:val="00437E11"/>
    <w:rsid w:val="0044088F"/>
    <w:rsid w:val="004440A3"/>
    <w:rsid w:val="004523EE"/>
    <w:rsid w:val="004552E5"/>
    <w:rsid w:val="0045612D"/>
    <w:rsid w:val="00456CA6"/>
    <w:rsid w:val="004575AC"/>
    <w:rsid w:val="004605AB"/>
    <w:rsid w:val="0046121D"/>
    <w:rsid w:val="0046154B"/>
    <w:rsid w:val="00463388"/>
    <w:rsid w:val="00464804"/>
    <w:rsid w:val="00465C56"/>
    <w:rsid w:val="004662E4"/>
    <w:rsid w:val="00466BF7"/>
    <w:rsid w:val="0047048E"/>
    <w:rsid w:val="00470830"/>
    <w:rsid w:val="00470ABC"/>
    <w:rsid w:val="00471E45"/>
    <w:rsid w:val="0047207B"/>
    <w:rsid w:val="00473637"/>
    <w:rsid w:val="0047397D"/>
    <w:rsid w:val="004744B0"/>
    <w:rsid w:val="0047501F"/>
    <w:rsid w:val="00476B66"/>
    <w:rsid w:val="00477308"/>
    <w:rsid w:val="00480481"/>
    <w:rsid w:val="004807AC"/>
    <w:rsid w:val="004826B8"/>
    <w:rsid w:val="00482790"/>
    <w:rsid w:val="0048311C"/>
    <w:rsid w:val="0048341D"/>
    <w:rsid w:val="00484AA9"/>
    <w:rsid w:val="004863E7"/>
    <w:rsid w:val="004876DA"/>
    <w:rsid w:val="004909F3"/>
    <w:rsid w:val="004910A6"/>
    <w:rsid w:val="004912D3"/>
    <w:rsid w:val="00492B9D"/>
    <w:rsid w:val="00494436"/>
    <w:rsid w:val="00497022"/>
    <w:rsid w:val="0049735C"/>
    <w:rsid w:val="004A026F"/>
    <w:rsid w:val="004A099D"/>
    <w:rsid w:val="004A1518"/>
    <w:rsid w:val="004A28E1"/>
    <w:rsid w:val="004A28FE"/>
    <w:rsid w:val="004A36C1"/>
    <w:rsid w:val="004B1D93"/>
    <w:rsid w:val="004B2E6A"/>
    <w:rsid w:val="004B3174"/>
    <w:rsid w:val="004B63D0"/>
    <w:rsid w:val="004B6AA8"/>
    <w:rsid w:val="004B6DC5"/>
    <w:rsid w:val="004B7D2E"/>
    <w:rsid w:val="004C0D82"/>
    <w:rsid w:val="004C12DB"/>
    <w:rsid w:val="004C1449"/>
    <w:rsid w:val="004C1B13"/>
    <w:rsid w:val="004C2C39"/>
    <w:rsid w:val="004C358F"/>
    <w:rsid w:val="004C4828"/>
    <w:rsid w:val="004C4E8D"/>
    <w:rsid w:val="004C53E0"/>
    <w:rsid w:val="004C59A6"/>
    <w:rsid w:val="004D08A9"/>
    <w:rsid w:val="004D18D7"/>
    <w:rsid w:val="004D1B27"/>
    <w:rsid w:val="004D321F"/>
    <w:rsid w:val="004D360C"/>
    <w:rsid w:val="004D3707"/>
    <w:rsid w:val="004D4185"/>
    <w:rsid w:val="004D518F"/>
    <w:rsid w:val="004D564B"/>
    <w:rsid w:val="004D6032"/>
    <w:rsid w:val="004D6111"/>
    <w:rsid w:val="004D6661"/>
    <w:rsid w:val="004D7AC3"/>
    <w:rsid w:val="004D7B92"/>
    <w:rsid w:val="004D7E0F"/>
    <w:rsid w:val="004E25D3"/>
    <w:rsid w:val="004E2B25"/>
    <w:rsid w:val="004E34CA"/>
    <w:rsid w:val="004E37BB"/>
    <w:rsid w:val="004E46FA"/>
    <w:rsid w:val="004E5C0E"/>
    <w:rsid w:val="004F0FB1"/>
    <w:rsid w:val="004F135C"/>
    <w:rsid w:val="004F1FD0"/>
    <w:rsid w:val="004F3646"/>
    <w:rsid w:val="004F3A23"/>
    <w:rsid w:val="004F7F3B"/>
    <w:rsid w:val="00500153"/>
    <w:rsid w:val="00500179"/>
    <w:rsid w:val="00500B00"/>
    <w:rsid w:val="005011FA"/>
    <w:rsid w:val="00502627"/>
    <w:rsid w:val="005077FC"/>
    <w:rsid w:val="005108CB"/>
    <w:rsid w:val="00510945"/>
    <w:rsid w:val="00510A43"/>
    <w:rsid w:val="00510B4B"/>
    <w:rsid w:val="005111B5"/>
    <w:rsid w:val="00512108"/>
    <w:rsid w:val="00512327"/>
    <w:rsid w:val="00513A14"/>
    <w:rsid w:val="00515A0F"/>
    <w:rsid w:val="00516478"/>
    <w:rsid w:val="00516AD0"/>
    <w:rsid w:val="00522375"/>
    <w:rsid w:val="00522680"/>
    <w:rsid w:val="0052334E"/>
    <w:rsid w:val="0052395D"/>
    <w:rsid w:val="00523A2D"/>
    <w:rsid w:val="005245D9"/>
    <w:rsid w:val="00524FE2"/>
    <w:rsid w:val="00525704"/>
    <w:rsid w:val="00525888"/>
    <w:rsid w:val="00525920"/>
    <w:rsid w:val="00526924"/>
    <w:rsid w:val="00526A8D"/>
    <w:rsid w:val="00527BA9"/>
    <w:rsid w:val="005307F9"/>
    <w:rsid w:val="00532C19"/>
    <w:rsid w:val="00534BB0"/>
    <w:rsid w:val="005354AB"/>
    <w:rsid w:val="005360BC"/>
    <w:rsid w:val="00536C68"/>
    <w:rsid w:val="00541373"/>
    <w:rsid w:val="00541476"/>
    <w:rsid w:val="00541599"/>
    <w:rsid w:val="00543D3E"/>
    <w:rsid w:val="00544749"/>
    <w:rsid w:val="005454F6"/>
    <w:rsid w:val="00546089"/>
    <w:rsid w:val="005504FA"/>
    <w:rsid w:val="00550895"/>
    <w:rsid w:val="00551F68"/>
    <w:rsid w:val="00552DB4"/>
    <w:rsid w:val="005548EA"/>
    <w:rsid w:val="00556064"/>
    <w:rsid w:val="00556485"/>
    <w:rsid w:val="00556E60"/>
    <w:rsid w:val="00556EEA"/>
    <w:rsid w:val="00556F60"/>
    <w:rsid w:val="00557172"/>
    <w:rsid w:val="00560F22"/>
    <w:rsid w:val="005613E7"/>
    <w:rsid w:val="00562375"/>
    <w:rsid w:val="005630F8"/>
    <w:rsid w:val="00563977"/>
    <w:rsid w:val="00563FEE"/>
    <w:rsid w:val="00565C93"/>
    <w:rsid w:val="00570389"/>
    <w:rsid w:val="00571E17"/>
    <w:rsid w:val="00571EF9"/>
    <w:rsid w:val="00572218"/>
    <w:rsid w:val="0057442A"/>
    <w:rsid w:val="005751D4"/>
    <w:rsid w:val="005761E8"/>
    <w:rsid w:val="00580470"/>
    <w:rsid w:val="00580BED"/>
    <w:rsid w:val="00580D0B"/>
    <w:rsid w:val="00580FC4"/>
    <w:rsid w:val="0058131F"/>
    <w:rsid w:val="00581F95"/>
    <w:rsid w:val="00583C0D"/>
    <w:rsid w:val="00591BAD"/>
    <w:rsid w:val="005923EF"/>
    <w:rsid w:val="0059253B"/>
    <w:rsid w:val="005951AE"/>
    <w:rsid w:val="00595802"/>
    <w:rsid w:val="005A1AE4"/>
    <w:rsid w:val="005A1F42"/>
    <w:rsid w:val="005A27BE"/>
    <w:rsid w:val="005A2F9A"/>
    <w:rsid w:val="005A311B"/>
    <w:rsid w:val="005A48C3"/>
    <w:rsid w:val="005A4CB8"/>
    <w:rsid w:val="005A4CC6"/>
    <w:rsid w:val="005A597A"/>
    <w:rsid w:val="005A6662"/>
    <w:rsid w:val="005A70BE"/>
    <w:rsid w:val="005B0629"/>
    <w:rsid w:val="005B0F2F"/>
    <w:rsid w:val="005B119E"/>
    <w:rsid w:val="005B3020"/>
    <w:rsid w:val="005B3F12"/>
    <w:rsid w:val="005B47C6"/>
    <w:rsid w:val="005B762F"/>
    <w:rsid w:val="005C0692"/>
    <w:rsid w:val="005C31D7"/>
    <w:rsid w:val="005C397A"/>
    <w:rsid w:val="005C4494"/>
    <w:rsid w:val="005C5C5A"/>
    <w:rsid w:val="005C6ABC"/>
    <w:rsid w:val="005D011C"/>
    <w:rsid w:val="005D0DF5"/>
    <w:rsid w:val="005D2CF3"/>
    <w:rsid w:val="005D34FB"/>
    <w:rsid w:val="005D5062"/>
    <w:rsid w:val="005D67CF"/>
    <w:rsid w:val="005E073B"/>
    <w:rsid w:val="005E0D3A"/>
    <w:rsid w:val="005E1546"/>
    <w:rsid w:val="005E4BAD"/>
    <w:rsid w:val="005E68C2"/>
    <w:rsid w:val="005F0E35"/>
    <w:rsid w:val="005F0F42"/>
    <w:rsid w:val="005F1BB0"/>
    <w:rsid w:val="005F2C10"/>
    <w:rsid w:val="005F396B"/>
    <w:rsid w:val="005F644C"/>
    <w:rsid w:val="005F6F29"/>
    <w:rsid w:val="00602882"/>
    <w:rsid w:val="006054F7"/>
    <w:rsid w:val="00610394"/>
    <w:rsid w:val="00611612"/>
    <w:rsid w:val="00612600"/>
    <w:rsid w:val="0061279C"/>
    <w:rsid w:val="00612952"/>
    <w:rsid w:val="00613612"/>
    <w:rsid w:val="006137F4"/>
    <w:rsid w:val="0061494E"/>
    <w:rsid w:val="006149CF"/>
    <w:rsid w:val="00614A4B"/>
    <w:rsid w:val="00615024"/>
    <w:rsid w:val="00615A2B"/>
    <w:rsid w:val="00616371"/>
    <w:rsid w:val="00616A20"/>
    <w:rsid w:val="00620A6F"/>
    <w:rsid w:val="00622257"/>
    <w:rsid w:val="00623596"/>
    <w:rsid w:val="0062407E"/>
    <w:rsid w:val="00624A16"/>
    <w:rsid w:val="00627EA0"/>
    <w:rsid w:val="0063293A"/>
    <w:rsid w:val="006334E3"/>
    <w:rsid w:val="00637747"/>
    <w:rsid w:val="00641616"/>
    <w:rsid w:val="00641692"/>
    <w:rsid w:val="00642EE1"/>
    <w:rsid w:val="00644D40"/>
    <w:rsid w:val="006454E3"/>
    <w:rsid w:val="00646107"/>
    <w:rsid w:val="00646E0E"/>
    <w:rsid w:val="00650E16"/>
    <w:rsid w:val="00654D9F"/>
    <w:rsid w:val="00655FD5"/>
    <w:rsid w:val="00656EBD"/>
    <w:rsid w:val="006576D0"/>
    <w:rsid w:val="00660A2D"/>
    <w:rsid w:val="00663AD5"/>
    <w:rsid w:val="006654C9"/>
    <w:rsid w:val="0066553A"/>
    <w:rsid w:val="00666DFD"/>
    <w:rsid w:val="00666F38"/>
    <w:rsid w:val="00666F69"/>
    <w:rsid w:val="006679D9"/>
    <w:rsid w:val="0067065A"/>
    <w:rsid w:val="00670BDD"/>
    <w:rsid w:val="006717D7"/>
    <w:rsid w:val="006718D8"/>
    <w:rsid w:val="006723C7"/>
    <w:rsid w:val="006755F2"/>
    <w:rsid w:val="006757F4"/>
    <w:rsid w:val="00676270"/>
    <w:rsid w:val="00680094"/>
    <w:rsid w:val="006800C0"/>
    <w:rsid w:val="00683A5D"/>
    <w:rsid w:val="00684C77"/>
    <w:rsid w:val="006867A7"/>
    <w:rsid w:val="006872A4"/>
    <w:rsid w:val="0069018D"/>
    <w:rsid w:val="00691DD4"/>
    <w:rsid w:val="00692102"/>
    <w:rsid w:val="006940BA"/>
    <w:rsid w:val="00696A84"/>
    <w:rsid w:val="0069702D"/>
    <w:rsid w:val="006A55C7"/>
    <w:rsid w:val="006A5893"/>
    <w:rsid w:val="006A7128"/>
    <w:rsid w:val="006A71D3"/>
    <w:rsid w:val="006B05BA"/>
    <w:rsid w:val="006B0763"/>
    <w:rsid w:val="006B3B24"/>
    <w:rsid w:val="006B479E"/>
    <w:rsid w:val="006B4EE6"/>
    <w:rsid w:val="006B4F87"/>
    <w:rsid w:val="006B4FC7"/>
    <w:rsid w:val="006B52A5"/>
    <w:rsid w:val="006B6650"/>
    <w:rsid w:val="006C0218"/>
    <w:rsid w:val="006C1808"/>
    <w:rsid w:val="006C1A74"/>
    <w:rsid w:val="006C41A1"/>
    <w:rsid w:val="006C4802"/>
    <w:rsid w:val="006C5352"/>
    <w:rsid w:val="006C6FE0"/>
    <w:rsid w:val="006C723A"/>
    <w:rsid w:val="006C7495"/>
    <w:rsid w:val="006C7550"/>
    <w:rsid w:val="006D3D43"/>
    <w:rsid w:val="006D45F6"/>
    <w:rsid w:val="006D4EF9"/>
    <w:rsid w:val="006E0A7E"/>
    <w:rsid w:val="006E25FD"/>
    <w:rsid w:val="006E2FE3"/>
    <w:rsid w:val="006E37A4"/>
    <w:rsid w:val="006E3BFA"/>
    <w:rsid w:val="006E4BE7"/>
    <w:rsid w:val="006E55F8"/>
    <w:rsid w:val="006E5D3B"/>
    <w:rsid w:val="006E6621"/>
    <w:rsid w:val="006E6AE7"/>
    <w:rsid w:val="006E7554"/>
    <w:rsid w:val="006F0060"/>
    <w:rsid w:val="006F1793"/>
    <w:rsid w:val="006F4694"/>
    <w:rsid w:val="006F4AD9"/>
    <w:rsid w:val="006F579B"/>
    <w:rsid w:val="006F59DD"/>
    <w:rsid w:val="006F79CB"/>
    <w:rsid w:val="006F7BF5"/>
    <w:rsid w:val="006F7C53"/>
    <w:rsid w:val="00700250"/>
    <w:rsid w:val="007011A5"/>
    <w:rsid w:val="00703699"/>
    <w:rsid w:val="0070413A"/>
    <w:rsid w:val="00705593"/>
    <w:rsid w:val="00705949"/>
    <w:rsid w:val="00707378"/>
    <w:rsid w:val="00707846"/>
    <w:rsid w:val="00707E8A"/>
    <w:rsid w:val="0071365E"/>
    <w:rsid w:val="0071488C"/>
    <w:rsid w:val="00715321"/>
    <w:rsid w:val="00717793"/>
    <w:rsid w:val="00720677"/>
    <w:rsid w:val="00720AB7"/>
    <w:rsid w:val="007213C0"/>
    <w:rsid w:val="00722047"/>
    <w:rsid w:val="007223D8"/>
    <w:rsid w:val="007223E4"/>
    <w:rsid w:val="007257EF"/>
    <w:rsid w:val="007268CA"/>
    <w:rsid w:val="00730113"/>
    <w:rsid w:val="007311DC"/>
    <w:rsid w:val="00731425"/>
    <w:rsid w:val="0073223A"/>
    <w:rsid w:val="0073485B"/>
    <w:rsid w:val="00735657"/>
    <w:rsid w:val="00735FEF"/>
    <w:rsid w:val="00736B74"/>
    <w:rsid w:val="00736ECF"/>
    <w:rsid w:val="00737F15"/>
    <w:rsid w:val="00743E5E"/>
    <w:rsid w:val="0074508A"/>
    <w:rsid w:val="007459EB"/>
    <w:rsid w:val="00747356"/>
    <w:rsid w:val="00750486"/>
    <w:rsid w:val="00750687"/>
    <w:rsid w:val="00750DC9"/>
    <w:rsid w:val="00750F80"/>
    <w:rsid w:val="00752DD3"/>
    <w:rsid w:val="007532EF"/>
    <w:rsid w:val="00754A09"/>
    <w:rsid w:val="00754B5A"/>
    <w:rsid w:val="00757354"/>
    <w:rsid w:val="007576EB"/>
    <w:rsid w:val="0076036D"/>
    <w:rsid w:val="00760EA1"/>
    <w:rsid w:val="007615AA"/>
    <w:rsid w:val="00763135"/>
    <w:rsid w:val="00763417"/>
    <w:rsid w:val="00766F2D"/>
    <w:rsid w:val="00767A55"/>
    <w:rsid w:val="00771BA9"/>
    <w:rsid w:val="00773A91"/>
    <w:rsid w:val="00774899"/>
    <w:rsid w:val="0077514D"/>
    <w:rsid w:val="00775BE9"/>
    <w:rsid w:val="00775F36"/>
    <w:rsid w:val="00777048"/>
    <w:rsid w:val="00777344"/>
    <w:rsid w:val="00780761"/>
    <w:rsid w:val="007817F9"/>
    <w:rsid w:val="00781C9E"/>
    <w:rsid w:val="0078533E"/>
    <w:rsid w:val="00786314"/>
    <w:rsid w:val="0078662A"/>
    <w:rsid w:val="0078701F"/>
    <w:rsid w:val="00787DD2"/>
    <w:rsid w:val="00791391"/>
    <w:rsid w:val="00796391"/>
    <w:rsid w:val="0079697F"/>
    <w:rsid w:val="00797F84"/>
    <w:rsid w:val="007A18EE"/>
    <w:rsid w:val="007A19F8"/>
    <w:rsid w:val="007A5518"/>
    <w:rsid w:val="007A737A"/>
    <w:rsid w:val="007A7542"/>
    <w:rsid w:val="007B0454"/>
    <w:rsid w:val="007B0599"/>
    <w:rsid w:val="007B0F54"/>
    <w:rsid w:val="007B153B"/>
    <w:rsid w:val="007B1B59"/>
    <w:rsid w:val="007B2429"/>
    <w:rsid w:val="007B3264"/>
    <w:rsid w:val="007B4F95"/>
    <w:rsid w:val="007B6887"/>
    <w:rsid w:val="007C1493"/>
    <w:rsid w:val="007C16B9"/>
    <w:rsid w:val="007C2050"/>
    <w:rsid w:val="007C23CB"/>
    <w:rsid w:val="007C27FE"/>
    <w:rsid w:val="007C399A"/>
    <w:rsid w:val="007C4C2A"/>
    <w:rsid w:val="007C56BC"/>
    <w:rsid w:val="007C5EE7"/>
    <w:rsid w:val="007C6616"/>
    <w:rsid w:val="007C6A27"/>
    <w:rsid w:val="007C7F57"/>
    <w:rsid w:val="007C7FB0"/>
    <w:rsid w:val="007D0A1F"/>
    <w:rsid w:val="007D2CCC"/>
    <w:rsid w:val="007D48C0"/>
    <w:rsid w:val="007D51EE"/>
    <w:rsid w:val="007D6E20"/>
    <w:rsid w:val="007E235C"/>
    <w:rsid w:val="007E25EF"/>
    <w:rsid w:val="007E3FD6"/>
    <w:rsid w:val="007E4F29"/>
    <w:rsid w:val="007E5BDA"/>
    <w:rsid w:val="007E62C6"/>
    <w:rsid w:val="007E754D"/>
    <w:rsid w:val="007F0823"/>
    <w:rsid w:val="007F1B85"/>
    <w:rsid w:val="007F1F68"/>
    <w:rsid w:val="007F293C"/>
    <w:rsid w:val="007F3D80"/>
    <w:rsid w:val="007F4558"/>
    <w:rsid w:val="007F5A57"/>
    <w:rsid w:val="007F7B29"/>
    <w:rsid w:val="008003DA"/>
    <w:rsid w:val="00801736"/>
    <w:rsid w:val="00802CAC"/>
    <w:rsid w:val="008033EB"/>
    <w:rsid w:val="00804C65"/>
    <w:rsid w:val="00805D7F"/>
    <w:rsid w:val="008109EE"/>
    <w:rsid w:val="00812167"/>
    <w:rsid w:val="00813236"/>
    <w:rsid w:val="00813FFE"/>
    <w:rsid w:val="0081465D"/>
    <w:rsid w:val="00815828"/>
    <w:rsid w:val="00816B20"/>
    <w:rsid w:val="00820771"/>
    <w:rsid w:val="00821503"/>
    <w:rsid w:val="00825CFD"/>
    <w:rsid w:val="00826583"/>
    <w:rsid w:val="0082786D"/>
    <w:rsid w:val="00830B3D"/>
    <w:rsid w:val="00830E1F"/>
    <w:rsid w:val="008316DA"/>
    <w:rsid w:val="00831B2F"/>
    <w:rsid w:val="00832494"/>
    <w:rsid w:val="00835E14"/>
    <w:rsid w:val="008369A2"/>
    <w:rsid w:val="008370D1"/>
    <w:rsid w:val="00837241"/>
    <w:rsid w:val="00837715"/>
    <w:rsid w:val="00837EC7"/>
    <w:rsid w:val="00841FB9"/>
    <w:rsid w:val="008421E5"/>
    <w:rsid w:val="00842326"/>
    <w:rsid w:val="008423F5"/>
    <w:rsid w:val="00843CF9"/>
    <w:rsid w:val="00844696"/>
    <w:rsid w:val="00846608"/>
    <w:rsid w:val="00847CD1"/>
    <w:rsid w:val="00847E55"/>
    <w:rsid w:val="008500AF"/>
    <w:rsid w:val="00850298"/>
    <w:rsid w:val="0085086B"/>
    <w:rsid w:val="00852612"/>
    <w:rsid w:val="00852BAC"/>
    <w:rsid w:val="00853E34"/>
    <w:rsid w:val="00855CD7"/>
    <w:rsid w:val="0085614B"/>
    <w:rsid w:val="00857E26"/>
    <w:rsid w:val="00860500"/>
    <w:rsid w:val="00860F3F"/>
    <w:rsid w:val="0086174B"/>
    <w:rsid w:val="00861AE8"/>
    <w:rsid w:val="00863B71"/>
    <w:rsid w:val="00864849"/>
    <w:rsid w:val="00866087"/>
    <w:rsid w:val="008661E3"/>
    <w:rsid w:val="00871851"/>
    <w:rsid w:val="0087208B"/>
    <w:rsid w:val="00873CBE"/>
    <w:rsid w:val="008744FA"/>
    <w:rsid w:val="00875EEE"/>
    <w:rsid w:val="00880158"/>
    <w:rsid w:val="00881DAD"/>
    <w:rsid w:val="00882194"/>
    <w:rsid w:val="008823B5"/>
    <w:rsid w:val="0088724E"/>
    <w:rsid w:val="00890B00"/>
    <w:rsid w:val="00890C51"/>
    <w:rsid w:val="008910C3"/>
    <w:rsid w:val="008940AF"/>
    <w:rsid w:val="008942C0"/>
    <w:rsid w:val="00894828"/>
    <w:rsid w:val="008955A9"/>
    <w:rsid w:val="00895846"/>
    <w:rsid w:val="00895919"/>
    <w:rsid w:val="00895AEF"/>
    <w:rsid w:val="00896784"/>
    <w:rsid w:val="00897D73"/>
    <w:rsid w:val="008A0300"/>
    <w:rsid w:val="008A05F3"/>
    <w:rsid w:val="008A16B3"/>
    <w:rsid w:val="008A2178"/>
    <w:rsid w:val="008A3148"/>
    <w:rsid w:val="008A3849"/>
    <w:rsid w:val="008A39D1"/>
    <w:rsid w:val="008A7715"/>
    <w:rsid w:val="008B3B89"/>
    <w:rsid w:val="008B523A"/>
    <w:rsid w:val="008B65CD"/>
    <w:rsid w:val="008B6849"/>
    <w:rsid w:val="008B709B"/>
    <w:rsid w:val="008C11FB"/>
    <w:rsid w:val="008C15B4"/>
    <w:rsid w:val="008C2748"/>
    <w:rsid w:val="008C2909"/>
    <w:rsid w:val="008C2944"/>
    <w:rsid w:val="008C3FAB"/>
    <w:rsid w:val="008C4066"/>
    <w:rsid w:val="008C4834"/>
    <w:rsid w:val="008C4934"/>
    <w:rsid w:val="008C67A1"/>
    <w:rsid w:val="008C73F9"/>
    <w:rsid w:val="008C7676"/>
    <w:rsid w:val="008D0F70"/>
    <w:rsid w:val="008D3785"/>
    <w:rsid w:val="008D492D"/>
    <w:rsid w:val="008D4C89"/>
    <w:rsid w:val="008D4EA9"/>
    <w:rsid w:val="008D54EB"/>
    <w:rsid w:val="008D6567"/>
    <w:rsid w:val="008D751F"/>
    <w:rsid w:val="008E097B"/>
    <w:rsid w:val="008E0D78"/>
    <w:rsid w:val="008E13A7"/>
    <w:rsid w:val="008E1FF1"/>
    <w:rsid w:val="008E3723"/>
    <w:rsid w:val="008E40BE"/>
    <w:rsid w:val="008E4575"/>
    <w:rsid w:val="008E4926"/>
    <w:rsid w:val="008E578B"/>
    <w:rsid w:val="008E5B0F"/>
    <w:rsid w:val="008F094D"/>
    <w:rsid w:val="008F1D8A"/>
    <w:rsid w:val="008F1F19"/>
    <w:rsid w:val="008F35A9"/>
    <w:rsid w:val="008F3ECA"/>
    <w:rsid w:val="008F620E"/>
    <w:rsid w:val="008F6583"/>
    <w:rsid w:val="008F77BB"/>
    <w:rsid w:val="00904868"/>
    <w:rsid w:val="009050BC"/>
    <w:rsid w:val="00905542"/>
    <w:rsid w:val="0090612C"/>
    <w:rsid w:val="00906234"/>
    <w:rsid w:val="00910652"/>
    <w:rsid w:val="009133C4"/>
    <w:rsid w:val="009146D8"/>
    <w:rsid w:val="00915D0B"/>
    <w:rsid w:val="009160FE"/>
    <w:rsid w:val="00921616"/>
    <w:rsid w:val="00922CDF"/>
    <w:rsid w:val="009234FF"/>
    <w:rsid w:val="00924C03"/>
    <w:rsid w:val="00926093"/>
    <w:rsid w:val="009261C9"/>
    <w:rsid w:val="00927829"/>
    <w:rsid w:val="00930EDC"/>
    <w:rsid w:val="0093127E"/>
    <w:rsid w:val="00931717"/>
    <w:rsid w:val="00931EA7"/>
    <w:rsid w:val="00932006"/>
    <w:rsid w:val="00932811"/>
    <w:rsid w:val="00932F7C"/>
    <w:rsid w:val="009336B6"/>
    <w:rsid w:val="00934F2A"/>
    <w:rsid w:val="00935691"/>
    <w:rsid w:val="0093744B"/>
    <w:rsid w:val="009415D8"/>
    <w:rsid w:val="00941726"/>
    <w:rsid w:val="009428CC"/>
    <w:rsid w:val="00946B52"/>
    <w:rsid w:val="00947578"/>
    <w:rsid w:val="00950C4D"/>
    <w:rsid w:val="00951109"/>
    <w:rsid w:val="00951407"/>
    <w:rsid w:val="00951432"/>
    <w:rsid w:val="009532D2"/>
    <w:rsid w:val="0095493E"/>
    <w:rsid w:val="00954AB7"/>
    <w:rsid w:val="00954DF1"/>
    <w:rsid w:val="00954E36"/>
    <w:rsid w:val="009552D5"/>
    <w:rsid w:val="00955BF4"/>
    <w:rsid w:val="00956DC5"/>
    <w:rsid w:val="009571E5"/>
    <w:rsid w:val="00957222"/>
    <w:rsid w:val="00960532"/>
    <w:rsid w:val="00960AB4"/>
    <w:rsid w:val="00963585"/>
    <w:rsid w:val="009637B7"/>
    <w:rsid w:val="00963A46"/>
    <w:rsid w:val="009657FC"/>
    <w:rsid w:val="0096754C"/>
    <w:rsid w:val="00967AC7"/>
    <w:rsid w:val="00970212"/>
    <w:rsid w:val="00970EA0"/>
    <w:rsid w:val="00971AA4"/>
    <w:rsid w:val="00972F1A"/>
    <w:rsid w:val="009766DF"/>
    <w:rsid w:val="00977124"/>
    <w:rsid w:val="009813CD"/>
    <w:rsid w:val="00982261"/>
    <w:rsid w:val="00982E79"/>
    <w:rsid w:val="0098318D"/>
    <w:rsid w:val="00983A2F"/>
    <w:rsid w:val="0098718D"/>
    <w:rsid w:val="00987E29"/>
    <w:rsid w:val="009918DF"/>
    <w:rsid w:val="00991DDB"/>
    <w:rsid w:val="0099285B"/>
    <w:rsid w:val="00994595"/>
    <w:rsid w:val="00994BC0"/>
    <w:rsid w:val="009A06D4"/>
    <w:rsid w:val="009A14C0"/>
    <w:rsid w:val="009A1A9E"/>
    <w:rsid w:val="009A260B"/>
    <w:rsid w:val="009A2BCE"/>
    <w:rsid w:val="009A3754"/>
    <w:rsid w:val="009A46BF"/>
    <w:rsid w:val="009A5108"/>
    <w:rsid w:val="009A6A5C"/>
    <w:rsid w:val="009A72F0"/>
    <w:rsid w:val="009A777C"/>
    <w:rsid w:val="009B1C7E"/>
    <w:rsid w:val="009B28F2"/>
    <w:rsid w:val="009B2B89"/>
    <w:rsid w:val="009B6998"/>
    <w:rsid w:val="009B6B57"/>
    <w:rsid w:val="009B71BE"/>
    <w:rsid w:val="009B7649"/>
    <w:rsid w:val="009C24DE"/>
    <w:rsid w:val="009C2F3A"/>
    <w:rsid w:val="009C31BC"/>
    <w:rsid w:val="009C507D"/>
    <w:rsid w:val="009C532A"/>
    <w:rsid w:val="009C5738"/>
    <w:rsid w:val="009C6C42"/>
    <w:rsid w:val="009C7AA6"/>
    <w:rsid w:val="009C7C47"/>
    <w:rsid w:val="009D0087"/>
    <w:rsid w:val="009D03C7"/>
    <w:rsid w:val="009D0C32"/>
    <w:rsid w:val="009D12BD"/>
    <w:rsid w:val="009D19CE"/>
    <w:rsid w:val="009D1B4F"/>
    <w:rsid w:val="009D1E51"/>
    <w:rsid w:val="009D21F0"/>
    <w:rsid w:val="009D3557"/>
    <w:rsid w:val="009D50C7"/>
    <w:rsid w:val="009D5EEA"/>
    <w:rsid w:val="009D6268"/>
    <w:rsid w:val="009D6C1E"/>
    <w:rsid w:val="009E03A8"/>
    <w:rsid w:val="009E07F9"/>
    <w:rsid w:val="009E18BA"/>
    <w:rsid w:val="009E4105"/>
    <w:rsid w:val="009E5C64"/>
    <w:rsid w:val="009E5F3E"/>
    <w:rsid w:val="009E64E4"/>
    <w:rsid w:val="009E7FF1"/>
    <w:rsid w:val="009F0BB8"/>
    <w:rsid w:val="009F1678"/>
    <w:rsid w:val="009F1DC1"/>
    <w:rsid w:val="009F2A30"/>
    <w:rsid w:val="009F3064"/>
    <w:rsid w:val="009F4510"/>
    <w:rsid w:val="009F4A21"/>
    <w:rsid w:val="009F63DF"/>
    <w:rsid w:val="009F79EB"/>
    <w:rsid w:val="00A00BA5"/>
    <w:rsid w:val="00A0187C"/>
    <w:rsid w:val="00A07C54"/>
    <w:rsid w:val="00A105DE"/>
    <w:rsid w:val="00A213A1"/>
    <w:rsid w:val="00A21A4E"/>
    <w:rsid w:val="00A223F5"/>
    <w:rsid w:val="00A22A88"/>
    <w:rsid w:val="00A23B52"/>
    <w:rsid w:val="00A24FAE"/>
    <w:rsid w:val="00A26F65"/>
    <w:rsid w:val="00A27AB1"/>
    <w:rsid w:val="00A30B88"/>
    <w:rsid w:val="00A30EF7"/>
    <w:rsid w:val="00A317C7"/>
    <w:rsid w:val="00A31DC3"/>
    <w:rsid w:val="00A33044"/>
    <w:rsid w:val="00A345E7"/>
    <w:rsid w:val="00A34FC6"/>
    <w:rsid w:val="00A35563"/>
    <w:rsid w:val="00A372EF"/>
    <w:rsid w:val="00A417BD"/>
    <w:rsid w:val="00A4186A"/>
    <w:rsid w:val="00A41B82"/>
    <w:rsid w:val="00A43D40"/>
    <w:rsid w:val="00A452F4"/>
    <w:rsid w:val="00A453F6"/>
    <w:rsid w:val="00A4631B"/>
    <w:rsid w:val="00A47FA2"/>
    <w:rsid w:val="00A5051A"/>
    <w:rsid w:val="00A506DD"/>
    <w:rsid w:val="00A51A4F"/>
    <w:rsid w:val="00A53872"/>
    <w:rsid w:val="00A54D4C"/>
    <w:rsid w:val="00A55139"/>
    <w:rsid w:val="00A551AE"/>
    <w:rsid w:val="00A561EF"/>
    <w:rsid w:val="00A56871"/>
    <w:rsid w:val="00A569ED"/>
    <w:rsid w:val="00A62C8D"/>
    <w:rsid w:val="00A6304B"/>
    <w:rsid w:val="00A652C0"/>
    <w:rsid w:val="00A66078"/>
    <w:rsid w:val="00A67B4B"/>
    <w:rsid w:val="00A70364"/>
    <w:rsid w:val="00A704BB"/>
    <w:rsid w:val="00A714DA"/>
    <w:rsid w:val="00A71A2F"/>
    <w:rsid w:val="00A7244B"/>
    <w:rsid w:val="00A74FF4"/>
    <w:rsid w:val="00A7503F"/>
    <w:rsid w:val="00A75ECF"/>
    <w:rsid w:val="00A771D1"/>
    <w:rsid w:val="00A82068"/>
    <w:rsid w:val="00A83640"/>
    <w:rsid w:val="00A83D76"/>
    <w:rsid w:val="00A85179"/>
    <w:rsid w:val="00A872DF"/>
    <w:rsid w:val="00A90739"/>
    <w:rsid w:val="00A95618"/>
    <w:rsid w:val="00A96286"/>
    <w:rsid w:val="00AA07D8"/>
    <w:rsid w:val="00AA099E"/>
    <w:rsid w:val="00AA22F6"/>
    <w:rsid w:val="00AA2717"/>
    <w:rsid w:val="00AA43A6"/>
    <w:rsid w:val="00AA6D0F"/>
    <w:rsid w:val="00AB1142"/>
    <w:rsid w:val="00AB1414"/>
    <w:rsid w:val="00AB1ACC"/>
    <w:rsid w:val="00AB38F2"/>
    <w:rsid w:val="00AB52B8"/>
    <w:rsid w:val="00AB77DB"/>
    <w:rsid w:val="00AC00A1"/>
    <w:rsid w:val="00AC111C"/>
    <w:rsid w:val="00AC2910"/>
    <w:rsid w:val="00AC2987"/>
    <w:rsid w:val="00AC2F58"/>
    <w:rsid w:val="00AC3213"/>
    <w:rsid w:val="00AC4896"/>
    <w:rsid w:val="00AC4A5D"/>
    <w:rsid w:val="00AC55A2"/>
    <w:rsid w:val="00AC61A2"/>
    <w:rsid w:val="00AC7D9D"/>
    <w:rsid w:val="00AD0271"/>
    <w:rsid w:val="00AD0D33"/>
    <w:rsid w:val="00AD1ABC"/>
    <w:rsid w:val="00AD229E"/>
    <w:rsid w:val="00AD34B2"/>
    <w:rsid w:val="00AD3A3C"/>
    <w:rsid w:val="00AD5334"/>
    <w:rsid w:val="00AD6B63"/>
    <w:rsid w:val="00AE01EB"/>
    <w:rsid w:val="00AE0E13"/>
    <w:rsid w:val="00AE110C"/>
    <w:rsid w:val="00AE1962"/>
    <w:rsid w:val="00AE51EA"/>
    <w:rsid w:val="00AE57A3"/>
    <w:rsid w:val="00AE6137"/>
    <w:rsid w:val="00AE639D"/>
    <w:rsid w:val="00AE6930"/>
    <w:rsid w:val="00AE6E3D"/>
    <w:rsid w:val="00AE74C3"/>
    <w:rsid w:val="00AE7545"/>
    <w:rsid w:val="00AF3DFE"/>
    <w:rsid w:val="00AF46DB"/>
    <w:rsid w:val="00AF55C0"/>
    <w:rsid w:val="00B04F8C"/>
    <w:rsid w:val="00B05C70"/>
    <w:rsid w:val="00B05E8D"/>
    <w:rsid w:val="00B05FA1"/>
    <w:rsid w:val="00B0606A"/>
    <w:rsid w:val="00B065AC"/>
    <w:rsid w:val="00B066C9"/>
    <w:rsid w:val="00B069CE"/>
    <w:rsid w:val="00B10629"/>
    <w:rsid w:val="00B122C1"/>
    <w:rsid w:val="00B1292E"/>
    <w:rsid w:val="00B12FE7"/>
    <w:rsid w:val="00B1300A"/>
    <w:rsid w:val="00B13294"/>
    <w:rsid w:val="00B150F5"/>
    <w:rsid w:val="00B15473"/>
    <w:rsid w:val="00B15B0B"/>
    <w:rsid w:val="00B15FA9"/>
    <w:rsid w:val="00B160FB"/>
    <w:rsid w:val="00B217AD"/>
    <w:rsid w:val="00B2200D"/>
    <w:rsid w:val="00B2279F"/>
    <w:rsid w:val="00B22CEB"/>
    <w:rsid w:val="00B238F2"/>
    <w:rsid w:val="00B23A0C"/>
    <w:rsid w:val="00B23D96"/>
    <w:rsid w:val="00B25114"/>
    <w:rsid w:val="00B25A35"/>
    <w:rsid w:val="00B25CC2"/>
    <w:rsid w:val="00B26839"/>
    <w:rsid w:val="00B27153"/>
    <w:rsid w:val="00B323F5"/>
    <w:rsid w:val="00B3281D"/>
    <w:rsid w:val="00B367C7"/>
    <w:rsid w:val="00B37498"/>
    <w:rsid w:val="00B403BA"/>
    <w:rsid w:val="00B41BDD"/>
    <w:rsid w:val="00B4379A"/>
    <w:rsid w:val="00B47DA8"/>
    <w:rsid w:val="00B50659"/>
    <w:rsid w:val="00B50D98"/>
    <w:rsid w:val="00B50F56"/>
    <w:rsid w:val="00B51E85"/>
    <w:rsid w:val="00B56210"/>
    <w:rsid w:val="00B5648C"/>
    <w:rsid w:val="00B566A0"/>
    <w:rsid w:val="00B569AD"/>
    <w:rsid w:val="00B5770B"/>
    <w:rsid w:val="00B60C98"/>
    <w:rsid w:val="00B612F9"/>
    <w:rsid w:val="00B615BA"/>
    <w:rsid w:val="00B620C0"/>
    <w:rsid w:val="00B62555"/>
    <w:rsid w:val="00B62A36"/>
    <w:rsid w:val="00B62ADD"/>
    <w:rsid w:val="00B6318D"/>
    <w:rsid w:val="00B64562"/>
    <w:rsid w:val="00B64DDC"/>
    <w:rsid w:val="00B65C1D"/>
    <w:rsid w:val="00B70119"/>
    <w:rsid w:val="00B70AE0"/>
    <w:rsid w:val="00B70EE8"/>
    <w:rsid w:val="00B72349"/>
    <w:rsid w:val="00B72C84"/>
    <w:rsid w:val="00B740DF"/>
    <w:rsid w:val="00B75242"/>
    <w:rsid w:val="00B753B0"/>
    <w:rsid w:val="00B765FE"/>
    <w:rsid w:val="00B77DF1"/>
    <w:rsid w:val="00B77E6A"/>
    <w:rsid w:val="00B77F6C"/>
    <w:rsid w:val="00B817D2"/>
    <w:rsid w:val="00B82459"/>
    <w:rsid w:val="00B82DFA"/>
    <w:rsid w:val="00B8508B"/>
    <w:rsid w:val="00B8544B"/>
    <w:rsid w:val="00B85454"/>
    <w:rsid w:val="00B860D9"/>
    <w:rsid w:val="00B86142"/>
    <w:rsid w:val="00B916ED"/>
    <w:rsid w:val="00B92ECC"/>
    <w:rsid w:val="00B92FD5"/>
    <w:rsid w:val="00B93169"/>
    <w:rsid w:val="00B934C0"/>
    <w:rsid w:val="00B952B9"/>
    <w:rsid w:val="00B95378"/>
    <w:rsid w:val="00B954B9"/>
    <w:rsid w:val="00B96504"/>
    <w:rsid w:val="00B9790E"/>
    <w:rsid w:val="00BA1CC0"/>
    <w:rsid w:val="00BA24B6"/>
    <w:rsid w:val="00BA35DC"/>
    <w:rsid w:val="00BA3780"/>
    <w:rsid w:val="00BA37F4"/>
    <w:rsid w:val="00BA5472"/>
    <w:rsid w:val="00BA7315"/>
    <w:rsid w:val="00BA758C"/>
    <w:rsid w:val="00BB0D52"/>
    <w:rsid w:val="00BB105F"/>
    <w:rsid w:val="00BB172A"/>
    <w:rsid w:val="00BB1D1C"/>
    <w:rsid w:val="00BB22D6"/>
    <w:rsid w:val="00BB2F58"/>
    <w:rsid w:val="00BB48DF"/>
    <w:rsid w:val="00BB5226"/>
    <w:rsid w:val="00BB55CF"/>
    <w:rsid w:val="00BB5F3A"/>
    <w:rsid w:val="00BB645A"/>
    <w:rsid w:val="00BB763F"/>
    <w:rsid w:val="00BB7740"/>
    <w:rsid w:val="00BB7FE2"/>
    <w:rsid w:val="00BC04AE"/>
    <w:rsid w:val="00BC11F3"/>
    <w:rsid w:val="00BC14CD"/>
    <w:rsid w:val="00BC2307"/>
    <w:rsid w:val="00BC3187"/>
    <w:rsid w:val="00BC5857"/>
    <w:rsid w:val="00BC71C3"/>
    <w:rsid w:val="00BC7B05"/>
    <w:rsid w:val="00BD4A5F"/>
    <w:rsid w:val="00BD5EAD"/>
    <w:rsid w:val="00BE0D9D"/>
    <w:rsid w:val="00BE47C6"/>
    <w:rsid w:val="00BE5429"/>
    <w:rsid w:val="00BE5627"/>
    <w:rsid w:val="00BE5E8B"/>
    <w:rsid w:val="00BE6100"/>
    <w:rsid w:val="00BE71B0"/>
    <w:rsid w:val="00BF0539"/>
    <w:rsid w:val="00BF0EE3"/>
    <w:rsid w:val="00BF7B5A"/>
    <w:rsid w:val="00C00348"/>
    <w:rsid w:val="00C00AC4"/>
    <w:rsid w:val="00C01745"/>
    <w:rsid w:val="00C019FE"/>
    <w:rsid w:val="00C0530A"/>
    <w:rsid w:val="00C05574"/>
    <w:rsid w:val="00C057B8"/>
    <w:rsid w:val="00C06D5E"/>
    <w:rsid w:val="00C070D8"/>
    <w:rsid w:val="00C07935"/>
    <w:rsid w:val="00C107C6"/>
    <w:rsid w:val="00C10C94"/>
    <w:rsid w:val="00C12D40"/>
    <w:rsid w:val="00C1392C"/>
    <w:rsid w:val="00C1739A"/>
    <w:rsid w:val="00C176C3"/>
    <w:rsid w:val="00C21EC0"/>
    <w:rsid w:val="00C22240"/>
    <w:rsid w:val="00C2354E"/>
    <w:rsid w:val="00C237A4"/>
    <w:rsid w:val="00C24610"/>
    <w:rsid w:val="00C26A3E"/>
    <w:rsid w:val="00C2727E"/>
    <w:rsid w:val="00C3063F"/>
    <w:rsid w:val="00C31B95"/>
    <w:rsid w:val="00C324D8"/>
    <w:rsid w:val="00C3702F"/>
    <w:rsid w:val="00C37283"/>
    <w:rsid w:val="00C37F0C"/>
    <w:rsid w:val="00C44A03"/>
    <w:rsid w:val="00C46612"/>
    <w:rsid w:val="00C466CC"/>
    <w:rsid w:val="00C47505"/>
    <w:rsid w:val="00C47B5E"/>
    <w:rsid w:val="00C501E7"/>
    <w:rsid w:val="00C50B76"/>
    <w:rsid w:val="00C51010"/>
    <w:rsid w:val="00C526F2"/>
    <w:rsid w:val="00C52743"/>
    <w:rsid w:val="00C53092"/>
    <w:rsid w:val="00C5474E"/>
    <w:rsid w:val="00C56314"/>
    <w:rsid w:val="00C56C77"/>
    <w:rsid w:val="00C56E1B"/>
    <w:rsid w:val="00C60526"/>
    <w:rsid w:val="00C6088D"/>
    <w:rsid w:val="00C609FB"/>
    <w:rsid w:val="00C60AEC"/>
    <w:rsid w:val="00C61381"/>
    <w:rsid w:val="00C61893"/>
    <w:rsid w:val="00C62434"/>
    <w:rsid w:val="00C66181"/>
    <w:rsid w:val="00C66588"/>
    <w:rsid w:val="00C6664C"/>
    <w:rsid w:val="00C667AC"/>
    <w:rsid w:val="00C67234"/>
    <w:rsid w:val="00C675C0"/>
    <w:rsid w:val="00C67F07"/>
    <w:rsid w:val="00C723B8"/>
    <w:rsid w:val="00C7328A"/>
    <w:rsid w:val="00C737A0"/>
    <w:rsid w:val="00C74970"/>
    <w:rsid w:val="00C74F24"/>
    <w:rsid w:val="00C7537F"/>
    <w:rsid w:val="00C76052"/>
    <w:rsid w:val="00C76AC9"/>
    <w:rsid w:val="00C76AF5"/>
    <w:rsid w:val="00C82534"/>
    <w:rsid w:val="00C83CBF"/>
    <w:rsid w:val="00C83EAB"/>
    <w:rsid w:val="00C83F35"/>
    <w:rsid w:val="00C8502A"/>
    <w:rsid w:val="00C85FE7"/>
    <w:rsid w:val="00C91688"/>
    <w:rsid w:val="00C93BFD"/>
    <w:rsid w:val="00C93F39"/>
    <w:rsid w:val="00C94BF5"/>
    <w:rsid w:val="00C94D35"/>
    <w:rsid w:val="00C95DB1"/>
    <w:rsid w:val="00C965A8"/>
    <w:rsid w:val="00C96719"/>
    <w:rsid w:val="00C9777D"/>
    <w:rsid w:val="00CA03FF"/>
    <w:rsid w:val="00CA268E"/>
    <w:rsid w:val="00CA2C22"/>
    <w:rsid w:val="00CA3052"/>
    <w:rsid w:val="00CA33CD"/>
    <w:rsid w:val="00CA49EA"/>
    <w:rsid w:val="00CA5576"/>
    <w:rsid w:val="00CA66F1"/>
    <w:rsid w:val="00CA6896"/>
    <w:rsid w:val="00CA7602"/>
    <w:rsid w:val="00CA7837"/>
    <w:rsid w:val="00CB24F9"/>
    <w:rsid w:val="00CB3642"/>
    <w:rsid w:val="00CB4985"/>
    <w:rsid w:val="00CB4E64"/>
    <w:rsid w:val="00CB59CE"/>
    <w:rsid w:val="00CC2C69"/>
    <w:rsid w:val="00CC6E18"/>
    <w:rsid w:val="00CD00F0"/>
    <w:rsid w:val="00CD0509"/>
    <w:rsid w:val="00CD0A89"/>
    <w:rsid w:val="00CD0B40"/>
    <w:rsid w:val="00CD1E0C"/>
    <w:rsid w:val="00CD2651"/>
    <w:rsid w:val="00CD2684"/>
    <w:rsid w:val="00CD28DC"/>
    <w:rsid w:val="00CD2B52"/>
    <w:rsid w:val="00CD30AF"/>
    <w:rsid w:val="00CD4B83"/>
    <w:rsid w:val="00CD641C"/>
    <w:rsid w:val="00CD779A"/>
    <w:rsid w:val="00CE0E16"/>
    <w:rsid w:val="00CE107F"/>
    <w:rsid w:val="00CE1115"/>
    <w:rsid w:val="00CE14F3"/>
    <w:rsid w:val="00CE411C"/>
    <w:rsid w:val="00CF1624"/>
    <w:rsid w:val="00CF270E"/>
    <w:rsid w:val="00CF2DFB"/>
    <w:rsid w:val="00CF2FC7"/>
    <w:rsid w:val="00CF6AA5"/>
    <w:rsid w:val="00CF78D8"/>
    <w:rsid w:val="00CF78E2"/>
    <w:rsid w:val="00D01254"/>
    <w:rsid w:val="00D019C8"/>
    <w:rsid w:val="00D01E0B"/>
    <w:rsid w:val="00D02844"/>
    <w:rsid w:val="00D02E98"/>
    <w:rsid w:val="00D032E1"/>
    <w:rsid w:val="00D03FE6"/>
    <w:rsid w:val="00D042B6"/>
    <w:rsid w:val="00D05323"/>
    <w:rsid w:val="00D06002"/>
    <w:rsid w:val="00D106F1"/>
    <w:rsid w:val="00D10DAB"/>
    <w:rsid w:val="00D11160"/>
    <w:rsid w:val="00D112D5"/>
    <w:rsid w:val="00D119FA"/>
    <w:rsid w:val="00D11CE2"/>
    <w:rsid w:val="00D11E35"/>
    <w:rsid w:val="00D13727"/>
    <w:rsid w:val="00D14974"/>
    <w:rsid w:val="00D15C59"/>
    <w:rsid w:val="00D16E8E"/>
    <w:rsid w:val="00D201CB"/>
    <w:rsid w:val="00D2129C"/>
    <w:rsid w:val="00D21513"/>
    <w:rsid w:val="00D21C15"/>
    <w:rsid w:val="00D22093"/>
    <w:rsid w:val="00D242AD"/>
    <w:rsid w:val="00D268C7"/>
    <w:rsid w:val="00D26FBA"/>
    <w:rsid w:val="00D27DF2"/>
    <w:rsid w:val="00D30217"/>
    <w:rsid w:val="00D31C72"/>
    <w:rsid w:val="00D3369D"/>
    <w:rsid w:val="00D33F44"/>
    <w:rsid w:val="00D34CA9"/>
    <w:rsid w:val="00D34FAC"/>
    <w:rsid w:val="00D36ED8"/>
    <w:rsid w:val="00D37ACA"/>
    <w:rsid w:val="00D37F3D"/>
    <w:rsid w:val="00D417BF"/>
    <w:rsid w:val="00D41BD9"/>
    <w:rsid w:val="00D44D66"/>
    <w:rsid w:val="00D460F6"/>
    <w:rsid w:val="00D46773"/>
    <w:rsid w:val="00D47204"/>
    <w:rsid w:val="00D47488"/>
    <w:rsid w:val="00D524B8"/>
    <w:rsid w:val="00D527E2"/>
    <w:rsid w:val="00D52DC3"/>
    <w:rsid w:val="00D53DD4"/>
    <w:rsid w:val="00D54649"/>
    <w:rsid w:val="00D5531F"/>
    <w:rsid w:val="00D61518"/>
    <w:rsid w:val="00D61BC2"/>
    <w:rsid w:val="00D63AD8"/>
    <w:rsid w:val="00D6427A"/>
    <w:rsid w:val="00D64533"/>
    <w:rsid w:val="00D6569F"/>
    <w:rsid w:val="00D65A92"/>
    <w:rsid w:val="00D65C50"/>
    <w:rsid w:val="00D70789"/>
    <w:rsid w:val="00D70E55"/>
    <w:rsid w:val="00D71960"/>
    <w:rsid w:val="00D72413"/>
    <w:rsid w:val="00D734E2"/>
    <w:rsid w:val="00D73EFE"/>
    <w:rsid w:val="00D762DF"/>
    <w:rsid w:val="00D77803"/>
    <w:rsid w:val="00D814A6"/>
    <w:rsid w:val="00D8238B"/>
    <w:rsid w:val="00D83C11"/>
    <w:rsid w:val="00D842CF"/>
    <w:rsid w:val="00D84C76"/>
    <w:rsid w:val="00D84D0F"/>
    <w:rsid w:val="00D8581C"/>
    <w:rsid w:val="00D85A68"/>
    <w:rsid w:val="00D85D54"/>
    <w:rsid w:val="00D92B00"/>
    <w:rsid w:val="00D93770"/>
    <w:rsid w:val="00D93BF4"/>
    <w:rsid w:val="00D96980"/>
    <w:rsid w:val="00D96B7D"/>
    <w:rsid w:val="00D97145"/>
    <w:rsid w:val="00DA3C0B"/>
    <w:rsid w:val="00DA47C2"/>
    <w:rsid w:val="00DA50E6"/>
    <w:rsid w:val="00DA67BB"/>
    <w:rsid w:val="00DA7250"/>
    <w:rsid w:val="00DA7C34"/>
    <w:rsid w:val="00DA7DD8"/>
    <w:rsid w:val="00DB011E"/>
    <w:rsid w:val="00DB0203"/>
    <w:rsid w:val="00DB25AB"/>
    <w:rsid w:val="00DB27E8"/>
    <w:rsid w:val="00DB32C5"/>
    <w:rsid w:val="00DB3976"/>
    <w:rsid w:val="00DB4CC4"/>
    <w:rsid w:val="00DB51AD"/>
    <w:rsid w:val="00DB7457"/>
    <w:rsid w:val="00DC1521"/>
    <w:rsid w:val="00DC18F9"/>
    <w:rsid w:val="00DC394F"/>
    <w:rsid w:val="00DC4B69"/>
    <w:rsid w:val="00DC6283"/>
    <w:rsid w:val="00DC7C63"/>
    <w:rsid w:val="00DD148D"/>
    <w:rsid w:val="00DD2164"/>
    <w:rsid w:val="00DD4D76"/>
    <w:rsid w:val="00DD6A31"/>
    <w:rsid w:val="00DD6F4A"/>
    <w:rsid w:val="00DD6FDF"/>
    <w:rsid w:val="00DD7B68"/>
    <w:rsid w:val="00DE092C"/>
    <w:rsid w:val="00DE3616"/>
    <w:rsid w:val="00DE4EED"/>
    <w:rsid w:val="00DE5C23"/>
    <w:rsid w:val="00DE68D7"/>
    <w:rsid w:val="00DF190B"/>
    <w:rsid w:val="00E001E8"/>
    <w:rsid w:val="00E0352D"/>
    <w:rsid w:val="00E05753"/>
    <w:rsid w:val="00E10AB5"/>
    <w:rsid w:val="00E11FAD"/>
    <w:rsid w:val="00E12357"/>
    <w:rsid w:val="00E14498"/>
    <w:rsid w:val="00E16A25"/>
    <w:rsid w:val="00E174B0"/>
    <w:rsid w:val="00E17C33"/>
    <w:rsid w:val="00E2173A"/>
    <w:rsid w:val="00E24D6E"/>
    <w:rsid w:val="00E25136"/>
    <w:rsid w:val="00E25569"/>
    <w:rsid w:val="00E2661F"/>
    <w:rsid w:val="00E26AEE"/>
    <w:rsid w:val="00E27A2F"/>
    <w:rsid w:val="00E27E02"/>
    <w:rsid w:val="00E30C53"/>
    <w:rsid w:val="00E3113A"/>
    <w:rsid w:val="00E312D4"/>
    <w:rsid w:val="00E31B4A"/>
    <w:rsid w:val="00E4028E"/>
    <w:rsid w:val="00E405DF"/>
    <w:rsid w:val="00E415B9"/>
    <w:rsid w:val="00E4166C"/>
    <w:rsid w:val="00E44531"/>
    <w:rsid w:val="00E44758"/>
    <w:rsid w:val="00E44891"/>
    <w:rsid w:val="00E518C8"/>
    <w:rsid w:val="00E52FAA"/>
    <w:rsid w:val="00E55746"/>
    <w:rsid w:val="00E55923"/>
    <w:rsid w:val="00E55D0C"/>
    <w:rsid w:val="00E579E0"/>
    <w:rsid w:val="00E610C5"/>
    <w:rsid w:val="00E62862"/>
    <w:rsid w:val="00E62AEA"/>
    <w:rsid w:val="00E6349E"/>
    <w:rsid w:val="00E63A5B"/>
    <w:rsid w:val="00E6475F"/>
    <w:rsid w:val="00E655D8"/>
    <w:rsid w:val="00E67794"/>
    <w:rsid w:val="00E7082E"/>
    <w:rsid w:val="00E70952"/>
    <w:rsid w:val="00E721B2"/>
    <w:rsid w:val="00E72CF6"/>
    <w:rsid w:val="00E73D35"/>
    <w:rsid w:val="00E744AD"/>
    <w:rsid w:val="00E74746"/>
    <w:rsid w:val="00E75CCB"/>
    <w:rsid w:val="00E77891"/>
    <w:rsid w:val="00E800DB"/>
    <w:rsid w:val="00E80A70"/>
    <w:rsid w:val="00E80D1B"/>
    <w:rsid w:val="00E82B3D"/>
    <w:rsid w:val="00E8582D"/>
    <w:rsid w:val="00E85848"/>
    <w:rsid w:val="00E8601E"/>
    <w:rsid w:val="00E901B5"/>
    <w:rsid w:val="00E906EB"/>
    <w:rsid w:val="00E90EA5"/>
    <w:rsid w:val="00E919BA"/>
    <w:rsid w:val="00E9292D"/>
    <w:rsid w:val="00E92A66"/>
    <w:rsid w:val="00E93502"/>
    <w:rsid w:val="00E93986"/>
    <w:rsid w:val="00E94B9C"/>
    <w:rsid w:val="00E95AFA"/>
    <w:rsid w:val="00E95B57"/>
    <w:rsid w:val="00E973A3"/>
    <w:rsid w:val="00E9740E"/>
    <w:rsid w:val="00EA0112"/>
    <w:rsid w:val="00EA0362"/>
    <w:rsid w:val="00EA1439"/>
    <w:rsid w:val="00EA2D25"/>
    <w:rsid w:val="00EA40BB"/>
    <w:rsid w:val="00EA54B8"/>
    <w:rsid w:val="00EB00EE"/>
    <w:rsid w:val="00EB2533"/>
    <w:rsid w:val="00EB4028"/>
    <w:rsid w:val="00EB6351"/>
    <w:rsid w:val="00EB645E"/>
    <w:rsid w:val="00EB66E4"/>
    <w:rsid w:val="00EB6B87"/>
    <w:rsid w:val="00EB71A5"/>
    <w:rsid w:val="00EC08D7"/>
    <w:rsid w:val="00EC1654"/>
    <w:rsid w:val="00EC18BE"/>
    <w:rsid w:val="00EC36B4"/>
    <w:rsid w:val="00EC4E72"/>
    <w:rsid w:val="00EC6F5D"/>
    <w:rsid w:val="00EC7535"/>
    <w:rsid w:val="00ED05D9"/>
    <w:rsid w:val="00ED18CB"/>
    <w:rsid w:val="00ED2165"/>
    <w:rsid w:val="00ED3BEB"/>
    <w:rsid w:val="00ED3E2E"/>
    <w:rsid w:val="00ED4C69"/>
    <w:rsid w:val="00ED6573"/>
    <w:rsid w:val="00EE0292"/>
    <w:rsid w:val="00EE20B1"/>
    <w:rsid w:val="00EE30EE"/>
    <w:rsid w:val="00EE40A3"/>
    <w:rsid w:val="00EE6E1D"/>
    <w:rsid w:val="00EE742C"/>
    <w:rsid w:val="00EF204E"/>
    <w:rsid w:val="00EF32DB"/>
    <w:rsid w:val="00EF35C6"/>
    <w:rsid w:val="00EF7DC7"/>
    <w:rsid w:val="00F0033E"/>
    <w:rsid w:val="00F0171A"/>
    <w:rsid w:val="00F0258A"/>
    <w:rsid w:val="00F02D2D"/>
    <w:rsid w:val="00F02E99"/>
    <w:rsid w:val="00F047E8"/>
    <w:rsid w:val="00F10A5F"/>
    <w:rsid w:val="00F113D3"/>
    <w:rsid w:val="00F12303"/>
    <w:rsid w:val="00F13464"/>
    <w:rsid w:val="00F1389C"/>
    <w:rsid w:val="00F15426"/>
    <w:rsid w:val="00F16763"/>
    <w:rsid w:val="00F1699D"/>
    <w:rsid w:val="00F16AA5"/>
    <w:rsid w:val="00F22B5B"/>
    <w:rsid w:val="00F24BF3"/>
    <w:rsid w:val="00F259E0"/>
    <w:rsid w:val="00F32921"/>
    <w:rsid w:val="00F32D0C"/>
    <w:rsid w:val="00F36A00"/>
    <w:rsid w:val="00F37317"/>
    <w:rsid w:val="00F37C94"/>
    <w:rsid w:val="00F4024A"/>
    <w:rsid w:val="00F404E7"/>
    <w:rsid w:val="00F41E6C"/>
    <w:rsid w:val="00F42162"/>
    <w:rsid w:val="00F454D3"/>
    <w:rsid w:val="00F46C05"/>
    <w:rsid w:val="00F46CC1"/>
    <w:rsid w:val="00F5009F"/>
    <w:rsid w:val="00F50400"/>
    <w:rsid w:val="00F52FBD"/>
    <w:rsid w:val="00F53AF4"/>
    <w:rsid w:val="00F53DFE"/>
    <w:rsid w:val="00F54A26"/>
    <w:rsid w:val="00F5531A"/>
    <w:rsid w:val="00F56A98"/>
    <w:rsid w:val="00F6066B"/>
    <w:rsid w:val="00F606A9"/>
    <w:rsid w:val="00F60E96"/>
    <w:rsid w:val="00F6186A"/>
    <w:rsid w:val="00F62274"/>
    <w:rsid w:val="00F62428"/>
    <w:rsid w:val="00F62E2F"/>
    <w:rsid w:val="00F638C5"/>
    <w:rsid w:val="00F63B48"/>
    <w:rsid w:val="00F6466A"/>
    <w:rsid w:val="00F65BB5"/>
    <w:rsid w:val="00F668EE"/>
    <w:rsid w:val="00F67A38"/>
    <w:rsid w:val="00F71B49"/>
    <w:rsid w:val="00F722B9"/>
    <w:rsid w:val="00F72912"/>
    <w:rsid w:val="00F7388F"/>
    <w:rsid w:val="00F74119"/>
    <w:rsid w:val="00F74374"/>
    <w:rsid w:val="00F751A4"/>
    <w:rsid w:val="00F7572F"/>
    <w:rsid w:val="00F766DF"/>
    <w:rsid w:val="00F76F08"/>
    <w:rsid w:val="00F77C1C"/>
    <w:rsid w:val="00F8175C"/>
    <w:rsid w:val="00F8503A"/>
    <w:rsid w:val="00F85122"/>
    <w:rsid w:val="00F86B32"/>
    <w:rsid w:val="00F87F66"/>
    <w:rsid w:val="00F90AA3"/>
    <w:rsid w:val="00F9253D"/>
    <w:rsid w:val="00F92768"/>
    <w:rsid w:val="00F93AEF"/>
    <w:rsid w:val="00F959ED"/>
    <w:rsid w:val="00F95FAA"/>
    <w:rsid w:val="00F9727B"/>
    <w:rsid w:val="00FA1149"/>
    <w:rsid w:val="00FA18B2"/>
    <w:rsid w:val="00FA1E44"/>
    <w:rsid w:val="00FA2DA2"/>
    <w:rsid w:val="00FA431A"/>
    <w:rsid w:val="00FA59F1"/>
    <w:rsid w:val="00FA67F2"/>
    <w:rsid w:val="00FA7ED3"/>
    <w:rsid w:val="00FB0485"/>
    <w:rsid w:val="00FB0EB8"/>
    <w:rsid w:val="00FB2144"/>
    <w:rsid w:val="00FB282E"/>
    <w:rsid w:val="00FB3D09"/>
    <w:rsid w:val="00FB4344"/>
    <w:rsid w:val="00FB46DE"/>
    <w:rsid w:val="00FB5964"/>
    <w:rsid w:val="00FB66A2"/>
    <w:rsid w:val="00FB6D8C"/>
    <w:rsid w:val="00FB7FF7"/>
    <w:rsid w:val="00FC1587"/>
    <w:rsid w:val="00FC2693"/>
    <w:rsid w:val="00FC28AB"/>
    <w:rsid w:val="00FC2E54"/>
    <w:rsid w:val="00FC5515"/>
    <w:rsid w:val="00FC5B5B"/>
    <w:rsid w:val="00FC6EF8"/>
    <w:rsid w:val="00FC7090"/>
    <w:rsid w:val="00FC7500"/>
    <w:rsid w:val="00FC7D94"/>
    <w:rsid w:val="00FD3776"/>
    <w:rsid w:val="00FD3C1A"/>
    <w:rsid w:val="00FD4AE4"/>
    <w:rsid w:val="00FD4E3E"/>
    <w:rsid w:val="00FD6522"/>
    <w:rsid w:val="00FE1255"/>
    <w:rsid w:val="00FE157A"/>
    <w:rsid w:val="00FE1BA7"/>
    <w:rsid w:val="00FE3DB6"/>
    <w:rsid w:val="00FE5B81"/>
    <w:rsid w:val="00FE7578"/>
    <w:rsid w:val="00FF0F0E"/>
    <w:rsid w:val="00FF1901"/>
    <w:rsid w:val="00FF19B7"/>
    <w:rsid w:val="00FF48BA"/>
    <w:rsid w:val="00FF6DA3"/>
    <w:rsid w:val="00FF781A"/>
    <w:rsid w:val="00FF7C23"/>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90113"/>
    <o:shapelayout v:ext="edit">
      <o:idmap v:ext="edit" data="1"/>
    </o:shapelayout>
  </w:shapeDefaults>
  <w:decimalSymbol w:val="."/>
  <w:listSeparator w:val=","/>
  <w14:docId w14:val="2590B510"/>
  <w15:docId w15:val="{8A7B8553-7260-40A9-AFA2-0DDA7EBE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81E"/>
    <w:rPr>
      <w:sz w:val="24"/>
    </w:rPr>
  </w:style>
  <w:style w:type="paragraph" w:styleId="Heading1">
    <w:name w:val="heading 1"/>
    <w:aliases w:val="Part"/>
    <w:basedOn w:val="Normal"/>
    <w:next w:val="Heading2"/>
    <w:qFormat/>
    <w:rsid w:val="009146D8"/>
    <w:pPr>
      <w:spacing w:after="240"/>
      <w:jc w:val="center"/>
      <w:outlineLvl w:val="0"/>
    </w:pPr>
    <w:rPr>
      <w:rFonts w:ascii="Arial" w:hAnsi="Arial"/>
      <w:b/>
      <w:sz w:val="32"/>
    </w:rPr>
  </w:style>
  <w:style w:type="paragraph" w:styleId="Heading2">
    <w:name w:val="heading 2"/>
    <w:aliases w:val="Chapter Title"/>
    <w:basedOn w:val="Normal"/>
    <w:next w:val="Heading4"/>
    <w:qFormat/>
    <w:rsid w:val="00C237A4"/>
    <w:pPr>
      <w:spacing w:after="240"/>
      <w:jc w:val="center"/>
      <w:outlineLvl w:val="1"/>
    </w:pPr>
    <w:rPr>
      <w:rFonts w:ascii="Arial" w:hAnsi="Arial"/>
      <w:b/>
      <w:sz w:val="32"/>
    </w:rPr>
  </w:style>
  <w:style w:type="paragraph" w:styleId="Heading3">
    <w:name w:val="heading 3"/>
    <w:aliases w:val="Section"/>
    <w:basedOn w:val="Normal"/>
    <w:next w:val="Heading4"/>
    <w:qFormat/>
    <w:rsid w:val="00C237A4"/>
    <w:pPr>
      <w:spacing w:after="240"/>
      <w:jc w:val="center"/>
      <w:outlineLvl w:val="2"/>
    </w:pPr>
    <w:rPr>
      <w:rFonts w:ascii="Arial" w:hAnsi="Arial"/>
      <w:b/>
      <w:sz w:val="32"/>
    </w:rPr>
  </w:style>
  <w:style w:type="paragraph" w:styleId="Heading4">
    <w:name w:val="heading 4"/>
    <w:aliases w:val="Map Title"/>
    <w:basedOn w:val="Normal"/>
    <w:next w:val="Normal"/>
    <w:qFormat/>
    <w:rsid w:val="00C237A4"/>
    <w:pPr>
      <w:spacing w:after="240"/>
      <w:outlineLvl w:val="3"/>
    </w:pPr>
    <w:rPr>
      <w:rFonts w:ascii="Arial" w:hAnsi="Arial"/>
      <w:b/>
      <w:sz w:val="32"/>
    </w:rPr>
  </w:style>
  <w:style w:type="paragraph" w:styleId="Heading5">
    <w:name w:val="heading 5"/>
    <w:aliases w:val="Block Label"/>
    <w:basedOn w:val="Normal"/>
    <w:next w:val="Normal"/>
    <w:qFormat/>
    <w:rsid w:val="00C237A4"/>
    <w:pPr>
      <w:outlineLvl w:val="4"/>
    </w:pPr>
    <w:rPr>
      <w:b/>
      <w:sz w:val="22"/>
    </w:rPr>
  </w:style>
  <w:style w:type="paragraph" w:styleId="Heading6">
    <w:name w:val="heading 6"/>
    <w:basedOn w:val="Heading1"/>
    <w:next w:val="Normal"/>
    <w:qFormat/>
    <w:rsid w:val="009146D8"/>
    <w:pPr>
      <w:outlineLvl w:val="5"/>
    </w:pPr>
  </w:style>
  <w:style w:type="paragraph" w:styleId="Heading7">
    <w:name w:val="heading 7"/>
    <w:basedOn w:val="Normal"/>
    <w:next w:val="Normal"/>
    <w:qFormat/>
    <w:rsid w:val="00C237A4"/>
    <w:pPr>
      <w:spacing w:before="240" w:after="60"/>
      <w:outlineLvl w:val="6"/>
    </w:pPr>
    <w:rPr>
      <w:rFonts w:ascii="Arial" w:hAnsi="Arial"/>
      <w:sz w:val="20"/>
    </w:rPr>
  </w:style>
  <w:style w:type="paragraph" w:styleId="Heading8">
    <w:name w:val="heading 8"/>
    <w:basedOn w:val="Normal"/>
    <w:next w:val="Normal"/>
    <w:qFormat/>
    <w:rsid w:val="00C237A4"/>
    <w:pPr>
      <w:spacing w:before="240" w:after="60"/>
      <w:outlineLvl w:val="7"/>
    </w:pPr>
    <w:rPr>
      <w:rFonts w:ascii="Arial" w:hAnsi="Arial"/>
      <w:i/>
      <w:sz w:val="20"/>
    </w:rPr>
  </w:style>
  <w:style w:type="paragraph" w:styleId="Heading9">
    <w:name w:val="heading 9"/>
    <w:basedOn w:val="Normal"/>
    <w:next w:val="Normal"/>
    <w:qFormat/>
    <w:rsid w:val="00C237A4"/>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37A4"/>
    <w:pPr>
      <w:tabs>
        <w:tab w:val="center" w:pos="4320"/>
        <w:tab w:val="right" w:pos="8640"/>
      </w:tabs>
    </w:pPr>
  </w:style>
  <w:style w:type="paragraph" w:styleId="MacroText">
    <w:name w:val="macro"/>
    <w:semiHidden/>
    <w:rsid w:val="00C237A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C237A4"/>
    <w:pPr>
      <w:pBdr>
        <w:top w:val="single" w:sz="6" w:space="1" w:color="auto"/>
        <w:between w:val="single" w:sz="6" w:space="1" w:color="auto"/>
      </w:pBdr>
      <w:spacing w:before="240"/>
      <w:ind w:left="1700"/>
    </w:pPr>
  </w:style>
  <w:style w:type="paragraph" w:styleId="BlockText">
    <w:name w:val="Block Text"/>
    <w:basedOn w:val="Normal"/>
    <w:rsid w:val="00C237A4"/>
  </w:style>
  <w:style w:type="paragraph" w:customStyle="1" w:styleId="BulletText1">
    <w:name w:val="Bullet Text 1"/>
    <w:basedOn w:val="Normal"/>
    <w:rsid w:val="00C237A4"/>
    <w:pPr>
      <w:ind w:left="187" w:hanging="187"/>
    </w:pPr>
  </w:style>
  <w:style w:type="paragraph" w:customStyle="1" w:styleId="BulletText2">
    <w:name w:val="Bullet Text 2"/>
    <w:basedOn w:val="BulletText1"/>
    <w:rsid w:val="00C237A4"/>
    <w:pPr>
      <w:ind w:left="360"/>
    </w:pPr>
  </w:style>
  <w:style w:type="paragraph" w:customStyle="1" w:styleId="ContinuedOnNextPa">
    <w:name w:val="Continued On Next Pa"/>
    <w:basedOn w:val="Normal"/>
    <w:next w:val="Normal"/>
    <w:rsid w:val="00C237A4"/>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C237A4"/>
    <w:rPr>
      <w:b/>
      <w:sz w:val="22"/>
    </w:rPr>
  </w:style>
  <w:style w:type="paragraph" w:customStyle="1" w:styleId="MapTitleContinued">
    <w:name w:val="Map Title. Continued"/>
    <w:basedOn w:val="Normal"/>
    <w:rsid w:val="00C237A4"/>
    <w:pPr>
      <w:spacing w:after="240"/>
    </w:pPr>
    <w:rPr>
      <w:rFonts w:ascii="Helvetica" w:hAnsi="Helvetica"/>
      <w:b/>
      <w:sz w:val="32"/>
    </w:rPr>
  </w:style>
  <w:style w:type="paragraph" w:customStyle="1" w:styleId="MemoLine">
    <w:name w:val="Memo Line"/>
    <w:basedOn w:val="BlockLine"/>
    <w:next w:val="Normal"/>
    <w:rsid w:val="00C237A4"/>
    <w:pPr>
      <w:ind w:left="0"/>
    </w:pPr>
  </w:style>
  <w:style w:type="paragraph" w:styleId="Footer">
    <w:name w:val="footer"/>
    <w:basedOn w:val="Normal"/>
    <w:link w:val="FooterChar"/>
    <w:uiPriority w:val="99"/>
    <w:qFormat/>
    <w:rsid w:val="00C237A4"/>
    <w:pPr>
      <w:tabs>
        <w:tab w:val="center" w:pos="4320"/>
        <w:tab w:val="right" w:pos="8640"/>
      </w:tabs>
    </w:pPr>
  </w:style>
  <w:style w:type="character" w:styleId="PageNumber">
    <w:name w:val="page number"/>
    <w:basedOn w:val="DefaultParagraphFont"/>
    <w:rsid w:val="00C237A4"/>
  </w:style>
  <w:style w:type="paragraph" w:customStyle="1" w:styleId="TableText">
    <w:name w:val="Table Text"/>
    <w:basedOn w:val="Normal"/>
    <w:rsid w:val="00C237A4"/>
  </w:style>
  <w:style w:type="paragraph" w:customStyle="1" w:styleId="NoteText">
    <w:name w:val="Note Text"/>
    <w:basedOn w:val="BlockText"/>
    <w:rsid w:val="00C237A4"/>
  </w:style>
  <w:style w:type="paragraph" w:customStyle="1" w:styleId="TableHeaderText">
    <w:name w:val="Table Header Text"/>
    <w:basedOn w:val="TableText"/>
    <w:rsid w:val="00C237A4"/>
    <w:pPr>
      <w:jc w:val="center"/>
    </w:pPr>
    <w:rPr>
      <w:b/>
    </w:rPr>
  </w:style>
  <w:style w:type="paragraph" w:customStyle="1" w:styleId="EmbeddedText">
    <w:name w:val="Embedded Text"/>
    <w:basedOn w:val="TableText"/>
    <w:rsid w:val="00C237A4"/>
  </w:style>
  <w:style w:type="paragraph" w:styleId="TOC2">
    <w:name w:val="toc 2"/>
    <w:basedOn w:val="Normal"/>
    <w:next w:val="Normal"/>
    <w:semiHidden/>
    <w:rsid w:val="00C237A4"/>
    <w:pPr>
      <w:tabs>
        <w:tab w:val="right" w:leader="dot" w:pos="10080"/>
      </w:tabs>
      <w:ind w:left="240"/>
    </w:pPr>
  </w:style>
  <w:style w:type="paragraph" w:styleId="BodyTextIndent">
    <w:name w:val="Body Text Indent"/>
    <w:basedOn w:val="Normal"/>
    <w:rsid w:val="00C237A4"/>
    <w:pPr>
      <w:ind w:left="1710"/>
    </w:pPr>
  </w:style>
  <w:style w:type="paragraph" w:styleId="BodyText">
    <w:name w:val="Body Text"/>
    <w:basedOn w:val="Normal"/>
    <w:rsid w:val="00C237A4"/>
    <w:rPr>
      <w:b/>
    </w:rPr>
  </w:style>
  <w:style w:type="paragraph" w:customStyle="1" w:styleId="PARA1">
    <w:name w:val="PARA1"/>
    <w:basedOn w:val="Normal"/>
    <w:rsid w:val="00C237A4"/>
    <w:pPr>
      <w:spacing w:line="240" w:lineRule="atLeast"/>
      <w:ind w:left="432"/>
    </w:pPr>
    <w:rPr>
      <w:rFonts w:ascii="Helvetica" w:hAnsi="Helvetica"/>
      <w:sz w:val="20"/>
    </w:rPr>
  </w:style>
  <w:style w:type="paragraph" w:customStyle="1" w:styleId="PARA2">
    <w:name w:val="PARA2"/>
    <w:basedOn w:val="Normal"/>
    <w:rsid w:val="00C237A4"/>
    <w:pPr>
      <w:spacing w:line="240" w:lineRule="atLeast"/>
      <w:ind w:left="864"/>
    </w:pPr>
    <w:rPr>
      <w:rFonts w:ascii="Helvetica" w:hAnsi="Helvetica"/>
      <w:sz w:val="20"/>
    </w:rPr>
  </w:style>
  <w:style w:type="paragraph" w:styleId="FootnoteText">
    <w:name w:val="footnote text"/>
    <w:basedOn w:val="Normal"/>
    <w:semiHidden/>
    <w:rsid w:val="00C237A4"/>
    <w:rPr>
      <w:rFonts w:ascii="Helvetica" w:hAnsi="Helvetica"/>
      <w:sz w:val="20"/>
    </w:rPr>
  </w:style>
  <w:style w:type="character" w:styleId="FootnoteReference">
    <w:name w:val="footnote reference"/>
    <w:basedOn w:val="DefaultParagraphFont"/>
    <w:semiHidden/>
    <w:rsid w:val="00C237A4"/>
    <w:rPr>
      <w:vertAlign w:val="superscript"/>
    </w:rPr>
  </w:style>
  <w:style w:type="paragraph" w:customStyle="1" w:styleId="PARA3">
    <w:name w:val="PARA3"/>
    <w:basedOn w:val="Normal"/>
    <w:rsid w:val="00C237A4"/>
    <w:pPr>
      <w:spacing w:line="240" w:lineRule="atLeast"/>
      <w:ind w:left="1296"/>
    </w:pPr>
    <w:rPr>
      <w:rFonts w:ascii="Helvetica" w:hAnsi="Helvetica"/>
      <w:sz w:val="20"/>
    </w:rPr>
  </w:style>
  <w:style w:type="character" w:styleId="Hyperlink">
    <w:name w:val="Hyperlink"/>
    <w:basedOn w:val="DefaultParagraphFont"/>
    <w:rsid w:val="00C237A4"/>
    <w:rPr>
      <w:color w:val="0000FF"/>
      <w:u w:val="single"/>
    </w:rPr>
  </w:style>
  <w:style w:type="paragraph" w:styleId="DocumentMap">
    <w:name w:val="Document Map"/>
    <w:basedOn w:val="Normal"/>
    <w:semiHidden/>
    <w:rsid w:val="00C237A4"/>
    <w:pPr>
      <w:shd w:val="clear" w:color="auto" w:fill="000080"/>
    </w:pPr>
    <w:rPr>
      <w:rFonts w:ascii="Tahoma" w:hAnsi="Tahoma"/>
    </w:rPr>
  </w:style>
  <w:style w:type="paragraph" w:customStyle="1" w:styleId="Extmemo">
    <w:name w:val="Extmemo"/>
    <w:basedOn w:val="Normal"/>
    <w:rsid w:val="00C237A4"/>
    <w:pPr>
      <w:spacing w:line="240" w:lineRule="exact"/>
    </w:pPr>
    <w:rPr>
      <w:rFonts w:ascii="Times" w:hAnsi="Times"/>
    </w:rPr>
  </w:style>
  <w:style w:type="character" w:styleId="FollowedHyperlink">
    <w:name w:val="FollowedHyperlink"/>
    <w:basedOn w:val="DefaultParagraphFont"/>
    <w:rsid w:val="00C237A4"/>
    <w:rPr>
      <w:color w:val="800080"/>
      <w:u w:val="single"/>
    </w:rPr>
  </w:style>
  <w:style w:type="paragraph" w:styleId="BodyText2">
    <w:name w:val="Body Text 2"/>
    <w:basedOn w:val="Normal"/>
    <w:rsid w:val="00C237A4"/>
    <w:rPr>
      <w:b/>
      <w:sz w:val="16"/>
    </w:rPr>
  </w:style>
  <w:style w:type="paragraph" w:styleId="BodyText3">
    <w:name w:val="Body Text 3"/>
    <w:basedOn w:val="Normal"/>
    <w:rsid w:val="00C237A4"/>
    <w:pPr>
      <w:pBdr>
        <w:top w:val="double" w:sz="6" w:space="1" w:color="auto"/>
        <w:left w:val="double" w:sz="6" w:space="1" w:color="auto"/>
        <w:bottom w:val="double" w:sz="6" w:space="1" w:color="auto"/>
        <w:right w:val="double" w:sz="6" w:space="1" w:color="auto"/>
      </w:pBdr>
    </w:pPr>
  </w:style>
  <w:style w:type="table" w:styleId="TableGrid">
    <w:name w:val="Table Grid"/>
    <w:basedOn w:val="TableNormal"/>
    <w:rsid w:val="00BB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DB7457"/>
    <w:pPr>
      <w:tabs>
        <w:tab w:val="left" w:pos="900"/>
        <w:tab w:val="left" w:pos="1980"/>
        <w:tab w:val="left" w:pos="2880"/>
        <w:tab w:val="left" w:pos="4140"/>
        <w:tab w:val="left" w:pos="5040"/>
        <w:tab w:val="left" w:pos="6300"/>
        <w:tab w:val="left" w:pos="7200"/>
      </w:tabs>
      <w:jc w:val="center"/>
    </w:pPr>
    <w:rPr>
      <w:b/>
      <w:sz w:val="28"/>
    </w:rPr>
  </w:style>
  <w:style w:type="paragraph" w:styleId="BalloonText">
    <w:name w:val="Balloon Text"/>
    <w:basedOn w:val="Normal"/>
    <w:semiHidden/>
    <w:rsid w:val="000C514C"/>
    <w:rPr>
      <w:rFonts w:ascii="Tahoma" w:hAnsi="Tahoma" w:cs="Tahoma"/>
      <w:sz w:val="16"/>
      <w:szCs w:val="16"/>
    </w:rPr>
  </w:style>
  <w:style w:type="paragraph" w:customStyle="1" w:styleId="Default">
    <w:name w:val="Default"/>
    <w:rsid w:val="001912E9"/>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D71960"/>
    <w:rPr>
      <w:sz w:val="24"/>
    </w:rPr>
  </w:style>
  <w:style w:type="character" w:customStyle="1" w:styleId="FooterChar">
    <w:name w:val="Footer Char"/>
    <w:basedOn w:val="DefaultParagraphFont"/>
    <w:link w:val="Footer"/>
    <w:uiPriority w:val="99"/>
    <w:rsid w:val="00DA7C34"/>
    <w:rPr>
      <w:sz w:val="24"/>
    </w:rPr>
  </w:style>
  <w:style w:type="character" w:styleId="CommentReference">
    <w:name w:val="annotation reference"/>
    <w:basedOn w:val="DefaultParagraphFont"/>
    <w:rsid w:val="009F1678"/>
    <w:rPr>
      <w:sz w:val="16"/>
      <w:szCs w:val="16"/>
    </w:rPr>
  </w:style>
  <w:style w:type="paragraph" w:styleId="CommentText">
    <w:name w:val="annotation text"/>
    <w:basedOn w:val="Normal"/>
    <w:link w:val="CommentTextChar"/>
    <w:rsid w:val="009F1678"/>
    <w:rPr>
      <w:sz w:val="20"/>
    </w:rPr>
  </w:style>
  <w:style w:type="character" w:customStyle="1" w:styleId="CommentTextChar">
    <w:name w:val="Comment Text Char"/>
    <w:basedOn w:val="DefaultParagraphFont"/>
    <w:link w:val="CommentText"/>
    <w:rsid w:val="009F1678"/>
  </w:style>
  <w:style w:type="paragraph" w:styleId="CommentSubject">
    <w:name w:val="annotation subject"/>
    <w:basedOn w:val="CommentText"/>
    <w:next w:val="CommentText"/>
    <w:link w:val="CommentSubjectChar"/>
    <w:rsid w:val="009F1678"/>
    <w:rPr>
      <w:b/>
      <w:bCs/>
    </w:rPr>
  </w:style>
  <w:style w:type="character" w:customStyle="1" w:styleId="CommentSubjectChar">
    <w:name w:val="Comment Subject Char"/>
    <w:basedOn w:val="CommentTextChar"/>
    <w:link w:val="CommentSubject"/>
    <w:rsid w:val="009F1678"/>
    <w:rPr>
      <w:b/>
      <w:bCs/>
    </w:rPr>
  </w:style>
  <w:style w:type="paragraph" w:styleId="ListParagraph">
    <w:name w:val="List Paragraph"/>
    <w:basedOn w:val="Normal"/>
    <w:uiPriority w:val="34"/>
    <w:qFormat/>
    <w:rsid w:val="002B65D6"/>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8823">
      <w:bodyDiv w:val="1"/>
      <w:marLeft w:val="0"/>
      <w:marRight w:val="0"/>
      <w:marTop w:val="0"/>
      <w:marBottom w:val="0"/>
      <w:divBdr>
        <w:top w:val="none" w:sz="0" w:space="0" w:color="auto"/>
        <w:left w:val="none" w:sz="0" w:space="0" w:color="auto"/>
        <w:bottom w:val="none" w:sz="0" w:space="0" w:color="auto"/>
        <w:right w:val="none" w:sz="0" w:space="0" w:color="auto"/>
      </w:divBdr>
      <w:divsChild>
        <w:div w:id="91779263">
          <w:marLeft w:val="3000"/>
          <w:marRight w:val="75"/>
          <w:marTop w:val="0"/>
          <w:marBottom w:val="0"/>
          <w:divBdr>
            <w:top w:val="none" w:sz="0" w:space="0" w:color="auto"/>
            <w:left w:val="none" w:sz="0" w:space="0" w:color="auto"/>
            <w:bottom w:val="none" w:sz="0" w:space="0" w:color="auto"/>
            <w:right w:val="none" w:sz="0" w:space="0" w:color="auto"/>
          </w:divBdr>
          <w:divsChild>
            <w:div w:id="2072274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06812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13">
          <w:marLeft w:val="3000"/>
          <w:marRight w:val="75"/>
          <w:marTop w:val="0"/>
          <w:marBottom w:val="0"/>
          <w:divBdr>
            <w:top w:val="none" w:sz="0" w:space="0" w:color="auto"/>
            <w:left w:val="none" w:sz="0" w:space="0" w:color="auto"/>
            <w:bottom w:val="none" w:sz="0" w:space="0" w:color="auto"/>
            <w:right w:val="none" w:sz="0" w:space="0" w:color="auto"/>
          </w:divBdr>
          <w:divsChild>
            <w:div w:id="149249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6253435">
      <w:bodyDiv w:val="1"/>
      <w:marLeft w:val="0"/>
      <w:marRight w:val="0"/>
      <w:marTop w:val="0"/>
      <w:marBottom w:val="0"/>
      <w:divBdr>
        <w:top w:val="none" w:sz="0" w:space="0" w:color="auto"/>
        <w:left w:val="none" w:sz="0" w:space="0" w:color="auto"/>
        <w:bottom w:val="none" w:sz="0" w:space="0" w:color="auto"/>
        <w:right w:val="none" w:sz="0" w:space="0" w:color="auto"/>
      </w:divBdr>
      <w:divsChild>
        <w:div w:id="679937899">
          <w:marLeft w:val="3000"/>
          <w:marRight w:val="75"/>
          <w:marTop w:val="0"/>
          <w:marBottom w:val="0"/>
          <w:divBdr>
            <w:top w:val="none" w:sz="0" w:space="0" w:color="auto"/>
            <w:left w:val="none" w:sz="0" w:space="0" w:color="auto"/>
            <w:bottom w:val="none" w:sz="0" w:space="0" w:color="auto"/>
            <w:right w:val="none" w:sz="0" w:space="0" w:color="auto"/>
          </w:divBdr>
          <w:divsChild>
            <w:div w:id="2070372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8310328">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1">
          <w:marLeft w:val="3000"/>
          <w:marRight w:val="75"/>
          <w:marTop w:val="0"/>
          <w:marBottom w:val="0"/>
          <w:divBdr>
            <w:top w:val="none" w:sz="0" w:space="0" w:color="auto"/>
            <w:left w:val="none" w:sz="0" w:space="0" w:color="auto"/>
            <w:bottom w:val="none" w:sz="0" w:space="0" w:color="auto"/>
            <w:right w:val="none" w:sz="0" w:space="0" w:color="auto"/>
          </w:divBdr>
          <w:divsChild>
            <w:div w:id="1641299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thy.mcgill@doa.virginia.go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yroll@doa.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virginia.gov/onlineservices.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ec.virginia.gov/forms-publications" TargetMode="External"/><Relationship Id="rId4" Type="http://schemas.openxmlformats.org/officeDocument/2006/relationships/settings" Target="settings.xml"/><Relationship Id="rId9" Type="http://schemas.openxmlformats.org/officeDocument/2006/relationships/hyperlink" Target="mailto:payroll@doa.virginia.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ACD6C-3A22-402E-8EC0-7895C4A0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INFOMAP.DOT</Template>
  <TotalTime>1895</TotalTime>
  <Pages>11</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Payroll Bulletin - Calendar Year-End 2008</vt:lpstr>
    </vt:vector>
  </TitlesOfParts>
  <Company>Department of Accounts</Company>
  <LinksUpToDate>false</LinksUpToDate>
  <CharactersWithSpaces>26971</CharactersWithSpaces>
  <SharedDoc>false</SharedDoc>
  <HLinks>
    <vt:vector size="96" baseType="variant">
      <vt:variant>
        <vt:i4>2621522</vt:i4>
      </vt:variant>
      <vt:variant>
        <vt:i4>45</vt:i4>
      </vt:variant>
      <vt:variant>
        <vt:i4>0</vt:i4>
      </vt:variant>
      <vt:variant>
        <vt:i4>5</vt:i4>
      </vt:variant>
      <vt:variant>
        <vt:lpwstr>mailto:payroll@doa.virginia.gov</vt:lpwstr>
      </vt:variant>
      <vt:variant>
        <vt:lpwstr/>
      </vt:variant>
      <vt:variant>
        <vt:i4>2621522</vt:i4>
      </vt:variant>
      <vt:variant>
        <vt:i4>42</vt:i4>
      </vt:variant>
      <vt:variant>
        <vt:i4>0</vt:i4>
      </vt:variant>
      <vt:variant>
        <vt:i4>5</vt:i4>
      </vt:variant>
      <vt:variant>
        <vt:lpwstr>mailto:payroll@doa.virginia.gov</vt:lpwstr>
      </vt:variant>
      <vt:variant>
        <vt:lpwstr/>
      </vt:variant>
      <vt:variant>
        <vt:i4>6226042</vt:i4>
      </vt:variant>
      <vt:variant>
        <vt:i4>39</vt:i4>
      </vt:variant>
      <vt:variant>
        <vt:i4>0</vt:i4>
      </vt:variant>
      <vt:variant>
        <vt:i4>5</vt:i4>
      </vt:variant>
      <vt:variant>
        <vt:lpwstr>mailto:Cathy.gravatt@doa.virginia.gov</vt:lpwstr>
      </vt:variant>
      <vt:variant>
        <vt:lpwstr/>
      </vt:variant>
      <vt:variant>
        <vt:i4>3276801</vt:i4>
      </vt:variant>
      <vt:variant>
        <vt:i4>36</vt:i4>
      </vt:variant>
      <vt:variant>
        <vt:i4>0</vt:i4>
      </vt:variant>
      <vt:variant>
        <vt:i4>5</vt:i4>
      </vt:variant>
      <vt:variant>
        <vt:lpwstr>mailto:Denise.halderman@doa.virginia.gov</vt:lpwstr>
      </vt:variant>
      <vt:variant>
        <vt:lpwstr/>
      </vt:variant>
      <vt:variant>
        <vt:i4>8061003</vt:i4>
      </vt:variant>
      <vt:variant>
        <vt:i4>33</vt:i4>
      </vt:variant>
      <vt:variant>
        <vt:i4>0</vt:i4>
      </vt:variant>
      <vt:variant>
        <vt:i4>5</vt:i4>
      </vt:variant>
      <vt:variant>
        <vt:lpwstr>mailto:Cathy.Mcgill@doa.virginia.gov</vt:lpwstr>
      </vt:variant>
      <vt:variant>
        <vt:lpwstr/>
      </vt:variant>
      <vt:variant>
        <vt:i4>8192113</vt:i4>
      </vt:variant>
      <vt:variant>
        <vt:i4>30</vt:i4>
      </vt:variant>
      <vt:variant>
        <vt:i4>0</vt:i4>
      </vt:variant>
      <vt:variant>
        <vt:i4>5</vt:i4>
      </vt:variant>
      <vt:variant>
        <vt:lpwstr>C:\Documents and Settings\john.rodgers\Local Settings\Temp\EFarmer@doa.state.va.us</vt:lpwstr>
      </vt:variant>
      <vt:variant>
        <vt:lpwstr/>
      </vt:variant>
      <vt:variant>
        <vt:i4>6619207</vt:i4>
      </vt:variant>
      <vt:variant>
        <vt:i4>27</vt:i4>
      </vt:variant>
      <vt:variant>
        <vt:i4>0</vt:i4>
      </vt:variant>
      <vt:variant>
        <vt:i4>5</vt:i4>
      </vt:variant>
      <vt:variant>
        <vt:lpwstr>http://www.doa.virginia.gov/Payroll/Payline/Payline_Main.cfm</vt:lpwstr>
      </vt:variant>
      <vt:variant>
        <vt:lpwstr/>
      </vt:variant>
      <vt:variant>
        <vt:i4>3866642</vt:i4>
      </vt:variant>
      <vt:variant>
        <vt:i4>24</vt:i4>
      </vt:variant>
      <vt:variant>
        <vt:i4>0</vt:i4>
      </vt:variant>
      <vt:variant>
        <vt:i4>5</vt:i4>
      </vt:variant>
      <vt:variant>
        <vt:lpwstr>mailto:Robert.ramey@doa.virginia.gov</vt:lpwstr>
      </vt:variant>
      <vt:variant>
        <vt:lpwstr/>
      </vt:variant>
      <vt:variant>
        <vt:i4>3211285</vt:i4>
      </vt:variant>
      <vt:variant>
        <vt:i4>21</vt:i4>
      </vt:variant>
      <vt:variant>
        <vt:i4>0</vt:i4>
      </vt:variant>
      <vt:variant>
        <vt:i4>5</vt:i4>
      </vt:variant>
      <vt:variant>
        <vt:lpwstr>mailto:Shannon.gulasky@doa.virginia.gov</vt:lpwstr>
      </vt:variant>
      <vt:variant>
        <vt:lpwstr/>
      </vt:variant>
      <vt:variant>
        <vt:i4>2621522</vt:i4>
      </vt:variant>
      <vt:variant>
        <vt:i4>18</vt:i4>
      </vt:variant>
      <vt:variant>
        <vt:i4>0</vt:i4>
      </vt:variant>
      <vt:variant>
        <vt:i4>5</vt:i4>
      </vt:variant>
      <vt:variant>
        <vt:lpwstr>mailto:payroll@doa.virginia.gov</vt:lpwstr>
      </vt:variant>
      <vt:variant>
        <vt:lpwstr/>
      </vt:variant>
      <vt:variant>
        <vt:i4>3014735</vt:i4>
      </vt:variant>
      <vt:variant>
        <vt:i4>15</vt:i4>
      </vt:variant>
      <vt:variant>
        <vt:i4>0</vt:i4>
      </vt:variant>
      <vt:variant>
        <vt:i4>5</vt:i4>
      </vt:variant>
      <vt:variant>
        <vt:lpwstr>mailto:loftusc@vec.virginia.gov</vt:lpwstr>
      </vt:variant>
      <vt:variant>
        <vt:lpwstr/>
      </vt:variant>
      <vt:variant>
        <vt:i4>6226042</vt:i4>
      </vt:variant>
      <vt:variant>
        <vt:i4>12</vt:i4>
      </vt:variant>
      <vt:variant>
        <vt:i4>0</vt:i4>
      </vt:variant>
      <vt:variant>
        <vt:i4>5</vt:i4>
      </vt:variant>
      <vt:variant>
        <vt:lpwstr>mailto:cathy.gravatt@doa.virginia.gov</vt:lpwstr>
      </vt:variant>
      <vt:variant>
        <vt:lpwstr/>
      </vt:variant>
      <vt:variant>
        <vt:i4>6750242</vt:i4>
      </vt:variant>
      <vt:variant>
        <vt:i4>9</vt:i4>
      </vt:variant>
      <vt:variant>
        <vt:i4>0</vt:i4>
      </vt:variant>
      <vt:variant>
        <vt:i4>5</vt:i4>
      </vt:variant>
      <vt:variant>
        <vt:lpwstr>http://www.doa.virginia.gov/Payroll/Payroll_Bulletins/2014/2014_01.pdf</vt:lpwstr>
      </vt:variant>
      <vt:variant>
        <vt:lpwstr/>
      </vt:variant>
      <vt:variant>
        <vt:i4>5767275</vt:i4>
      </vt:variant>
      <vt:variant>
        <vt:i4>6</vt:i4>
      </vt:variant>
      <vt:variant>
        <vt:i4>0</vt:i4>
      </vt:variant>
      <vt:variant>
        <vt:i4>5</vt:i4>
      </vt:variant>
      <vt:variant>
        <vt:lpwstr>mailto:acallanta@doa.state.va.us</vt:lpwstr>
      </vt:variant>
      <vt:variant>
        <vt:lpwstr/>
      </vt:variant>
      <vt:variant>
        <vt:i4>6029434</vt:i4>
      </vt:variant>
      <vt:variant>
        <vt:i4>3</vt:i4>
      </vt:variant>
      <vt:variant>
        <vt:i4>0</vt:i4>
      </vt:variant>
      <vt:variant>
        <vt:i4>5</vt:i4>
      </vt:variant>
      <vt:variant>
        <vt:lpwstr>mailto:johde@doa.state.va.us</vt:lpwstr>
      </vt:variant>
      <vt:variant>
        <vt:lpwstr/>
      </vt:variant>
      <vt:variant>
        <vt:i4>8061003</vt:i4>
      </vt:variant>
      <vt:variant>
        <vt:i4>0</vt:i4>
      </vt:variant>
      <vt:variant>
        <vt:i4>0</vt:i4>
      </vt:variant>
      <vt:variant>
        <vt:i4>5</vt:i4>
      </vt:variant>
      <vt:variant>
        <vt:lpwstr>mailto:cathy.mcgill@doa.virginia.gov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Bulletin - Calendar Year-End 2008</dc:title>
  <dc:subject>Payroll Bulletin - Calendar Year-End 2008</dc:subject>
  <dc:creator>Department of Accounts</dc:creator>
  <cp:keywords>Payroll Bulletin - Calendar Year-End 2008</cp:keywords>
  <cp:lastModifiedBy>McGill, Cathy (DOA)</cp:lastModifiedBy>
  <cp:revision>29</cp:revision>
  <cp:lastPrinted>2019-11-26T21:14:00Z</cp:lastPrinted>
  <dcterms:created xsi:type="dcterms:W3CDTF">2021-12-09T18:33:00Z</dcterms:created>
  <dcterms:modified xsi:type="dcterms:W3CDTF">2021-12-13T18:39:00Z</dcterms:modified>
  <cp:category>Payroll Bulletin - Calendar Year-End 2008</cp:category>
</cp:coreProperties>
</file>