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7B030" w14:textId="77777777" w:rsidR="00A264B7" w:rsidRDefault="00A264B7">
      <w:pPr>
        <w:pStyle w:val="Title"/>
        <w:jc w:val="center"/>
      </w:pPr>
    </w:p>
    <w:p w14:paraId="3D07B031" w14:textId="77777777" w:rsidR="00A264B7" w:rsidRDefault="00A264B7"/>
    <w:p w14:paraId="3D07B032" w14:textId="77777777" w:rsidR="00A264B7" w:rsidRDefault="00000000">
      <w:pPr>
        <w:pStyle w:val="Title"/>
        <w:jc w:val="center"/>
      </w:pPr>
      <w:r>
        <w:t xml:space="preserve">Cardinal Impact Guide: </w:t>
      </w:r>
    </w:p>
    <w:p w14:paraId="3D07B033" w14:textId="77777777" w:rsidR="00A264B7" w:rsidRDefault="00000000">
      <w:pPr>
        <w:pStyle w:val="Title"/>
        <w:jc w:val="center"/>
      </w:pPr>
      <w:r>
        <w:t>Finance</w:t>
      </w:r>
    </w:p>
    <w:p w14:paraId="3D07B034" w14:textId="77777777" w:rsidR="00A264B7" w:rsidRDefault="00A264B7"/>
    <w:p w14:paraId="3D07B035" w14:textId="77777777" w:rsidR="00A264B7" w:rsidRDefault="00000000">
      <w:pPr>
        <w:jc w:val="center"/>
      </w:pPr>
      <w:r>
        <w:t>September 2022</w:t>
      </w:r>
      <w:r>
        <w:br/>
      </w:r>
    </w:p>
    <w:p w14:paraId="3D07B036" w14:textId="77777777" w:rsidR="00A264B7" w:rsidRDefault="00000000">
      <w:r>
        <w:br w:type="page"/>
      </w:r>
      <w:r>
        <w:rPr>
          <w:noProof/>
        </w:rPr>
        <w:drawing>
          <wp:anchor distT="0" distB="0" distL="114300" distR="114300" simplePos="0" relativeHeight="251658240" behindDoc="0" locked="0" layoutInCell="1" hidden="0" allowOverlap="1" wp14:anchorId="3D07B0D8" wp14:editId="3D07B0D9">
            <wp:simplePos x="0" y="0"/>
            <wp:positionH relativeFrom="column">
              <wp:posOffset>2066798</wp:posOffset>
            </wp:positionH>
            <wp:positionV relativeFrom="paragraph">
              <wp:posOffset>1085215</wp:posOffset>
            </wp:positionV>
            <wp:extent cx="1810003" cy="1800476"/>
            <wp:effectExtent l="0" t="0" r="0" b="0"/>
            <wp:wrapSquare wrapText="bothSides" distT="0" distB="0" distL="114300" distR="114300"/>
            <wp:docPr id="3"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1"/>
                    <a:srcRect/>
                    <a:stretch>
                      <a:fillRect/>
                    </a:stretch>
                  </pic:blipFill>
                  <pic:spPr>
                    <a:xfrm>
                      <a:off x="0" y="0"/>
                      <a:ext cx="1810003" cy="1800476"/>
                    </a:xfrm>
                    <a:prstGeom prst="rect">
                      <a:avLst/>
                    </a:prstGeom>
                    <a:ln/>
                  </pic:spPr>
                </pic:pic>
              </a:graphicData>
            </a:graphic>
          </wp:anchor>
        </w:drawing>
      </w:r>
    </w:p>
    <w:p w14:paraId="3D07B037" w14:textId="77777777" w:rsidR="00A264B7" w:rsidRDefault="00000000">
      <w:pPr>
        <w:pBdr>
          <w:top w:val="single" w:sz="24" w:space="0" w:color="052F61"/>
          <w:left w:val="single" w:sz="24" w:space="0" w:color="052F61"/>
          <w:bottom w:val="single" w:sz="24" w:space="0" w:color="052F61"/>
          <w:right w:val="single" w:sz="24" w:space="0" w:color="052F61"/>
          <w:between w:val="nil"/>
        </w:pBdr>
        <w:shd w:val="clear" w:color="auto" w:fill="052F61"/>
        <w:spacing w:after="0"/>
        <w:rPr>
          <w:smallCaps/>
          <w:color w:val="FFFFFF"/>
          <w:sz w:val="22"/>
          <w:szCs w:val="22"/>
        </w:rPr>
      </w:pPr>
      <w:r>
        <w:rPr>
          <w:smallCaps/>
          <w:color w:val="FFFFFF"/>
          <w:sz w:val="22"/>
          <w:szCs w:val="22"/>
        </w:rPr>
        <w:lastRenderedPageBreak/>
        <w:t>Table of Contents</w:t>
      </w:r>
    </w:p>
    <w:sdt>
      <w:sdtPr>
        <w:id w:val="671458256"/>
        <w:docPartObj>
          <w:docPartGallery w:val="Table of Contents"/>
          <w:docPartUnique/>
        </w:docPartObj>
      </w:sdtPr>
      <w:sdtContent>
        <w:p w14:paraId="00607293" w14:textId="7CB00301" w:rsidR="003B5480" w:rsidRDefault="00000000">
          <w:pPr>
            <w:pStyle w:val="TOC1"/>
            <w:tabs>
              <w:tab w:val="right" w:pos="935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15106969" w:history="1">
            <w:r w:rsidR="003B5480" w:rsidRPr="00A72104">
              <w:rPr>
                <w:rStyle w:val="Hyperlink"/>
                <w:b/>
                <w:noProof/>
              </w:rPr>
              <w:t>General Ledger Integration</w:t>
            </w:r>
            <w:r w:rsidR="003B5480">
              <w:rPr>
                <w:noProof/>
                <w:webHidden/>
              </w:rPr>
              <w:tab/>
            </w:r>
            <w:r w:rsidR="003B5480">
              <w:rPr>
                <w:noProof/>
                <w:webHidden/>
              </w:rPr>
              <w:fldChar w:fldCharType="begin"/>
            </w:r>
            <w:r w:rsidR="003B5480">
              <w:rPr>
                <w:noProof/>
                <w:webHidden/>
              </w:rPr>
              <w:instrText xml:space="preserve"> PAGEREF _Toc115106969 \h </w:instrText>
            </w:r>
            <w:r w:rsidR="003B5480">
              <w:rPr>
                <w:noProof/>
                <w:webHidden/>
              </w:rPr>
            </w:r>
            <w:r w:rsidR="003B5480">
              <w:rPr>
                <w:noProof/>
                <w:webHidden/>
              </w:rPr>
              <w:fldChar w:fldCharType="separate"/>
            </w:r>
            <w:r w:rsidR="003B5480">
              <w:rPr>
                <w:noProof/>
                <w:webHidden/>
              </w:rPr>
              <w:t>3</w:t>
            </w:r>
            <w:r w:rsidR="003B5480">
              <w:rPr>
                <w:noProof/>
                <w:webHidden/>
              </w:rPr>
              <w:fldChar w:fldCharType="end"/>
            </w:r>
          </w:hyperlink>
        </w:p>
        <w:p w14:paraId="0F181FA3" w14:textId="5F6AAB80" w:rsidR="003B5480" w:rsidRDefault="003B5480">
          <w:pPr>
            <w:pStyle w:val="TOC2"/>
            <w:tabs>
              <w:tab w:val="right" w:pos="9350"/>
            </w:tabs>
            <w:rPr>
              <w:rFonts w:asciiTheme="minorHAnsi" w:eastAsiaTheme="minorEastAsia" w:hAnsiTheme="minorHAnsi" w:cstheme="minorBidi"/>
              <w:noProof/>
              <w:sz w:val="22"/>
              <w:szCs w:val="22"/>
            </w:rPr>
          </w:pPr>
          <w:hyperlink w:anchor="_Toc115106970" w:history="1">
            <w:r w:rsidRPr="00A72104">
              <w:rPr>
                <w:rStyle w:val="Hyperlink"/>
                <w:noProof/>
              </w:rPr>
              <w:t>FI01: Payroll Liability Account Reconciliation</w:t>
            </w:r>
            <w:r>
              <w:rPr>
                <w:noProof/>
                <w:webHidden/>
              </w:rPr>
              <w:tab/>
            </w:r>
            <w:r>
              <w:rPr>
                <w:noProof/>
                <w:webHidden/>
              </w:rPr>
              <w:fldChar w:fldCharType="begin"/>
            </w:r>
            <w:r>
              <w:rPr>
                <w:noProof/>
                <w:webHidden/>
              </w:rPr>
              <w:instrText xml:space="preserve"> PAGEREF _Toc115106970 \h </w:instrText>
            </w:r>
            <w:r>
              <w:rPr>
                <w:noProof/>
                <w:webHidden/>
              </w:rPr>
            </w:r>
            <w:r>
              <w:rPr>
                <w:noProof/>
                <w:webHidden/>
              </w:rPr>
              <w:fldChar w:fldCharType="separate"/>
            </w:r>
            <w:r>
              <w:rPr>
                <w:noProof/>
                <w:webHidden/>
              </w:rPr>
              <w:t>3</w:t>
            </w:r>
            <w:r>
              <w:rPr>
                <w:noProof/>
                <w:webHidden/>
              </w:rPr>
              <w:fldChar w:fldCharType="end"/>
            </w:r>
          </w:hyperlink>
        </w:p>
        <w:p w14:paraId="2B826677" w14:textId="694EDC6B" w:rsidR="003B5480" w:rsidRDefault="003B5480">
          <w:pPr>
            <w:pStyle w:val="TOC1"/>
            <w:tabs>
              <w:tab w:val="right" w:pos="9350"/>
            </w:tabs>
            <w:rPr>
              <w:rFonts w:asciiTheme="minorHAnsi" w:eastAsiaTheme="minorEastAsia" w:hAnsiTheme="minorHAnsi" w:cstheme="minorBidi"/>
              <w:noProof/>
              <w:sz w:val="22"/>
              <w:szCs w:val="22"/>
            </w:rPr>
          </w:pPr>
          <w:hyperlink w:anchor="_Toc115106971" w:history="1">
            <w:r w:rsidRPr="00A72104">
              <w:rPr>
                <w:rStyle w:val="Hyperlink"/>
                <w:b/>
                <w:noProof/>
              </w:rPr>
              <w:t>Accounts Payable Integration</w:t>
            </w:r>
            <w:r>
              <w:rPr>
                <w:noProof/>
                <w:webHidden/>
              </w:rPr>
              <w:tab/>
            </w:r>
            <w:r>
              <w:rPr>
                <w:noProof/>
                <w:webHidden/>
              </w:rPr>
              <w:fldChar w:fldCharType="begin"/>
            </w:r>
            <w:r>
              <w:rPr>
                <w:noProof/>
                <w:webHidden/>
              </w:rPr>
              <w:instrText xml:space="preserve"> PAGEREF _Toc115106971 \h </w:instrText>
            </w:r>
            <w:r>
              <w:rPr>
                <w:noProof/>
                <w:webHidden/>
              </w:rPr>
            </w:r>
            <w:r>
              <w:rPr>
                <w:noProof/>
                <w:webHidden/>
              </w:rPr>
              <w:fldChar w:fldCharType="separate"/>
            </w:r>
            <w:r>
              <w:rPr>
                <w:noProof/>
                <w:webHidden/>
              </w:rPr>
              <w:t>4</w:t>
            </w:r>
            <w:r>
              <w:rPr>
                <w:noProof/>
                <w:webHidden/>
              </w:rPr>
              <w:fldChar w:fldCharType="end"/>
            </w:r>
          </w:hyperlink>
        </w:p>
        <w:p w14:paraId="44A1B88E" w14:textId="6611F386" w:rsidR="003B5480" w:rsidRDefault="003B5480">
          <w:pPr>
            <w:pStyle w:val="TOC2"/>
            <w:tabs>
              <w:tab w:val="right" w:pos="9350"/>
            </w:tabs>
            <w:rPr>
              <w:rFonts w:asciiTheme="minorHAnsi" w:eastAsiaTheme="minorEastAsia" w:hAnsiTheme="minorHAnsi" w:cstheme="minorBidi"/>
              <w:noProof/>
              <w:sz w:val="22"/>
              <w:szCs w:val="22"/>
            </w:rPr>
          </w:pPr>
          <w:hyperlink w:anchor="_Toc115106972" w:history="1">
            <w:r w:rsidRPr="00A72104">
              <w:rPr>
                <w:rStyle w:val="Hyperlink"/>
                <w:noProof/>
              </w:rPr>
              <w:t>FI02: Employee Profile Sync Between HCM and Expense Module</w:t>
            </w:r>
            <w:r>
              <w:rPr>
                <w:noProof/>
                <w:webHidden/>
              </w:rPr>
              <w:tab/>
            </w:r>
            <w:r>
              <w:rPr>
                <w:noProof/>
                <w:webHidden/>
              </w:rPr>
              <w:fldChar w:fldCharType="begin"/>
            </w:r>
            <w:r>
              <w:rPr>
                <w:noProof/>
                <w:webHidden/>
              </w:rPr>
              <w:instrText xml:space="preserve"> PAGEREF _Toc115106972 \h </w:instrText>
            </w:r>
            <w:r>
              <w:rPr>
                <w:noProof/>
                <w:webHidden/>
              </w:rPr>
            </w:r>
            <w:r>
              <w:rPr>
                <w:noProof/>
                <w:webHidden/>
              </w:rPr>
              <w:fldChar w:fldCharType="separate"/>
            </w:r>
            <w:r>
              <w:rPr>
                <w:noProof/>
                <w:webHidden/>
              </w:rPr>
              <w:t>4</w:t>
            </w:r>
            <w:r>
              <w:rPr>
                <w:noProof/>
                <w:webHidden/>
              </w:rPr>
              <w:fldChar w:fldCharType="end"/>
            </w:r>
          </w:hyperlink>
        </w:p>
        <w:p w14:paraId="0B31FD06" w14:textId="17373244" w:rsidR="003B5480" w:rsidRDefault="003B5480">
          <w:pPr>
            <w:pStyle w:val="TOC2"/>
            <w:tabs>
              <w:tab w:val="right" w:pos="9350"/>
            </w:tabs>
            <w:rPr>
              <w:rFonts w:asciiTheme="minorHAnsi" w:eastAsiaTheme="minorEastAsia" w:hAnsiTheme="minorHAnsi" w:cstheme="minorBidi"/>
              <w:noProof/>
              <w:sz w:val="22"/>
              <w:szCs w:val="22"/>
            </w:rPr>
          </w:pPr>
          <w:hyperlink w:anchor="_Toc115106973" w:history="1">
            <w:r w:rsidRPr="00A72104">
              <w:rPr>
                <w:rStyle w:val="Hyperlink"/>
                <w:noProof/>
              </w:rPr>
              <w:t>FI03: HCM Supplier Voucher Process</w:t>
            </w:r>
            <w:r>
              <w:rPr>
                <w:noProof/>
                <w:webHidden/>
              </w:rPr>
              <w:tab/>
            </w:r>
            <w:r>
              <w:rPr>
                <w:noProof/>
                <w:webHidden/>
              </w:rPr>
              <w:fldChar w:fldCharType="begin"/>
            </w:r>
            <w:r>
              <w:rPr>
                <w:noProof/>
                <w:webHidden/>
              </w:rPr>
              <w:instrText xml:space="preserve"> PAGEREF _Toc115106973 \h </w:instrText>
            </w:r>
            <w:r>
              <w:rPr>
                <w:noProof/>
                <w:webHidden/>
              </w:rPr>
            </w:r>
            <w:r>
              <w:rPr>
                <w:noProof/>
                <w:webHidden/>
              </w:rPr>
              <w:fldChar w:fldCharType="separate"/>
            </w:r>
            <w:r>
              <w:rPr>
                <w:noProof/>
                <w:webHidden/>
              </w:rPr>
              <w:t>5</w:t>
            </w:r>
            <w:r>
              <w:rPr>
                <w:noProof/>
                <w:webHidden/>
              </w:rPr>
              <w:fldChar w:fldCharType="end"/>
            </w:r>
          </w:hyperlink>
        </w:p>
        <w:p w14:paraId="17C49611" w14:textId="051D5986" w:rsidR="003B5480" w:rsidRDefault="003B5480">
          <w:pPr>
            <w:pStyle w:val="TOC2"/>
            <w:tabs>
              <w:tab w:val="right" w:pos="9350"/>
            </w:tabs>
            <w:rPr>
              <w:rFonts w:asciiTheme="minorHAnsi" w:eastAsiaTheme="minorEastAsia" w:hAnsiTheme="minorHAnsi" w:cstheme="minorBidi"/>
              <w:noProof/>
              <w:sz w:val="22"/>
              <w:szCs w:val="22"/>
            </w:rPr>
          </w:pPr>
          <w:hyperlink w:anchor="_Toc115106974" w:history="1">
            <w:r w:rsidRPr="00A72104">
              <w:rPr>
                <w:rStyle w:val="Hyperlink"/>
                <w:noProof/>
              </w:rPr>
              <w:t>FI04: Summarized HCM Voucher Accounting Data</w:t>
            </w:r>
            <w:r>
              <w:rPr>
                <w:noProof/>
                <w:webHidden/>
              </w:rPr>
              <w:tab/>
            </w:r>
            <w:r>
              <w:rPr>
                <w:noProof/>
                <w:webHidden/>
              </w:rPr>
              <w:fldChar w:fldCharType="begin"/>
            </w:r>
            <w:r>
              <w:rPr>
                <w:noProof/>
                <w:webHidden/>
              </w:rPr>
              <w:instrText xml:space="preserve"> PAGEREF _Toc115106974 \h </w:instrText>
            </w:r>
            <w:r>
              <w:rPr>
                <w:noProof/>
                <w:webHidden/>
              </w:rPr>
            </w:r>
            <w:r>
              <w:rPr>
                <w:noProof/>
                <w:webHidden/>
              </w:rPr>
              <w:fldChar w:fldCharType="separate"/>
            </w:r>
            <w:r>
              <w:rPr>
                <w:noProof/>
                <w:webHidden/>
              </w:rPr>
              <w:t>5</w:t>
            </w:r>
            <w:r>
              <w:rPr>
                <w:noProof/>
                <w:webHidden/>
              </w:rPr>
              <w:fldChar w:fldCharType="end"/>
            </w:r>
          </w:hyperlink>
        </w:p>
        <w:p w14:paraId="6BBDB735" w14:textId="63BFB1FD" w:rsidR="003B5480" w:rsidRDefault="003B5480">
          <w:pPr>
            <w:pStyle w:val="TOC2"/>
            <w:tabs>
              <w:tab w:val="right" w:pos="9350"/>
            </w:tabs>
            <w:rPr>
              <w:rFonts w:asciiTheme="minorHAnsi" w:eastAsiaTheme="minorEastAsia" w:hAnsiTheme="minorHAnsi" w:cstheme="minorBidi"/>
              <w:noProof/>
              <w:sz w:val="22"/>
              <w:szCs w:val="22"/>
            </w:rPr>
          </w:pPr>
          <w:hyperlink w:anchor="_Toc115106975" w:history="1">
            <w:r w:rsidRPr="00A72104">
              <w:rPr>
                <w:rStyle w:val="Hyperlink"/>
                <w:noProof/>
              </w:rPr>
              <w:t>FI05: Login Credentials new</w:t>
            </w:r>
            <w:r>
              <w:rPr>
                <w:noProof/>
                <w:webHidden/>
              </w:rPr>
              <w:tab/>
            </w:r>
            <w:r>
              <w:rPr>
                <w:noProof/>
                <w:webHidden/>
              </w:rPr>
              <w:fldChar w:fldCharType="begin"/>
            </w:r>
            <w:r>
              <w:rPr>
                <w:noProof/>
                <w:webHidden/>
              </w:rPr>
              <w:instrText xml:space="preserve"> PAGEREF _Toc115106975 \h </w:instrText>
            </w:r>
            <w:r>
              <w:rPr>
                <w:noProof/>
                <w:webHidden/>
              </w:rPr>
            </w:r>
            <w:r>
              <w:rPr>
                <w:noProof/>
                <w:webHidden/>
              </w:rPr>
              <w:fldChar w:fldCharType="separate"/>
            </w:r>
            <w:r>
              <w:rPr>
                <w:noProof/>
                <w:webHidden/>
              </w:rPr>
              <w:t>6</w:t>
            </w:r>
            <w:r>
              <w:rPr>
                <w:noProof/>
                <w:webHidden/>
              </w:rPr>
              <w:fldChar w:fldCharType="end"/>
            </w:r>
          </w:hyperlink>
        </w:p>
        <w:p w14:paraId="682A4C76" w14:textId="683C4CAA" w:rsidR="003B5480" w:rsidRDefault="003B5480">
          <w:pPr>
            <w:pStyle w:val="TOC1"/>
            <w:tabs>
              <w:tab w:val="right" w:pos="9350"/>
            </w:tabs>
            <w:rPr>
              <w:rFonts w:asciiTheme="minorHAnsi" w:eastAsiaTheme="minorEastAsia" w:hAnsiTheme="minorHAnsi" w:cstheme="minorBidi"/>
              <w:noProof/>
              <w:sz w:val="22"/>
              <w:szCs w:val="22"/>
            </w:rPr>
          </w:pPr>
          <w:hyperlink w:anchor="_Toc115106976" w:history="1">
            <w:r w:rsidRPr="00A72104">
              <w:rPr>
                <w:rStyle w:val="Hyperlink"/>
                <w:b/>
                <w:noProof/>
              </w:rPr>
              <w:t>General Finance and Cardinal Links</w:t>
            </w:r>
            <w:r>
              <w:rPr>
                <w:noProof/>
                <w:webHidden/>
              </w:rPr>
              <w:tab/>
            </w:r>
            <w:r>
              <w:rPr>
                <w:noProof/>
                <w:webHidden/>
              </w:rPr>
              <w:fldChar w:fldCharType="begin"/>
            </w:r>
            <w:r>
              <w:rPr>
                <w:noProof/>
                <w:webHidden/>
              </w:rPr>
              <w:instrText xml:space="preserve"> PAGEREF _Toc115106976 \h </w:instrText>
            </w:r>
            <w:r>
              <w:rPr>
                <w:noProof/>
                <w:webHidden/>
              </w:rPr>
            </w:r>
            <w:r>
              <w:rPr>
                <w:noProof/>
                <w:webHidden/>
              </w:rPr>
              <w:fldChar w:fldCharType="separate"/>
            </w:r>
            <w:r>
              <w:rPr>
                <w:noProof/>
                <w:webHidden/>
              </w:rPr>
              <w:t>7</w:t>
            </w:r>
            <w:r>
              <w:rPr>
                <w:noProof/>
                <w:webHidden/>
              </w:rPr>
              <w:fldChar w:fldCharType="end"/>
            </w:r>
          </w:hyperlink>
        </w:p>
        <w:p w14:paraId="39C42D66" w14:textId="71B19469" w:rsidR="003B5480" w:rsidRDefault="003B5480">
          <w:pPr>
            <w:pStyle w:val="TOC1"/>
            <w:tabs>
              <w:tab w:val="right" w:pos="9350"/>
            </w:tabs>
            <w:rPr>
              <w:rFonts w:asciiTheme="minorHAnsi" w:eastAsiaTheme="minorEastAsia" w:hAnsiTheme="minorHAnsi" w:cstheme="minorBidi"/>
              <w:noProof/>
              <w:sz w:val="22"/>
              <w:szCs w:val="22"/>
            </w:rPr>
          </w:pPr>
          <w:hyperlink w:anchor="_Toc115106977" w:history="1">
            <w:r w:rsidRPr="00A72104">
              <w:rPr>
                <w:rStyle w:val="Hyperlink"/>
                <w:b/>
                <w:noProof/>
              </w:rPr>
              <w:t>Appendix A: HCM Supplier Voucher Process</w:t>
            </w:r>
            <w:r>
              <w:rPr>
                <w:noProof/>
                <w:webHidden/>
              </w:rPr>
              <w:tab/>
            </w:r>
            <w:r>
              <w:rPr>
                <w:noProof/>
                <w:webHidden/>
              </w:rPr>
              <w:fldChar w:fldCharType="begin"/>
            </w:r>
            <w:r>
              <w:rPr>
                <w:noProof/>
                <w:webHidden/>
              </w:rPr>
              <w:instrText xml:space="preserve"> PAGEREF _Toc115106977 \h </w:instrText>
            </w:r>
            <w:r>
              <w:rPr>
                <w:noProof/>
                <w:webHidden/>
              </w:rPr>
            </w:r>
            <w:r>
              <w:rPr>
                <w:noProof/>
                <w:webHidden/>
              </w:rPr>
              <w:fldChar w:fldCharType="separate"/>
            </w:r>
            <w:r>
              <w:rPr>
                <w:noProof/>
                <w:webHidden/>
              </w:rPr>
              <w:t>8</w:t>
            </w:r>
            <w:r>
              <w:rPr>
                <w:noProof/>
                <w:webHidden/>
              </w:rPr>
              <w:fldChar w:fldCharType="end"/>
            </w:r>
          </w:hyperlink>
        </w:p>
        <w:p w14:paraId="3D07B040" w14:textId="360E766D" w:rsidR="00A264B7" w:rsidRDefault="00000000">
          <w:r>
            <w:fldChar w:fldCharType="end"/>
          </w:r>
        </w:p>
      </w:sdtContent>
    </w:sdt>
    <w:p w14:paraId="3D07B041" w14:textId="77777777" w:rsidR="00A264B7" w:rsidRDefault="00000000">
      <w:r>
        <w:br w:type="page"/>
      </w:r>
    </w:p>
    <w:p w14:paraId="3D07B042" w14:textId="77777777" w:rsidR="00A264B7" w:rsidRDefault="00000000">
      <w:pPr>
        <w:pStyle w:val="Heading1"/>
        <w:rPr>
          <w:b/>
        </w:rPr>
      </w:pPr>
      <w:bookmarkStart w:id="0" w:name="_Toc115106969"/>
      <w:r>
        <w:rPr>
          <w:b/>
        </w:rPr>
        <w:lastRenderedPageBreak/>
        <w:t>General Ledger Integration</w:t>
      </w:r>
      <w:bookmarkEnd w:id="0"/>
      <w:r>
        <w:rPr>
          <w:b/>
        </w:rPr>
        <w:t xml:space="preserve"> </w:t>
      </w:r>
    </w:p>
    <w:p w14:paraId="3D07B043" w14:textId="77777777" w:rsidR="00A264B7" w:rsidRDefault="00000000">
      <w:pPr>
        <w:pStyle w:val="Heading2"/>
      </w:pPr>
      <w:bookmarkStart w:id="1" w:name="_Toc115106970"/>
      <w:r>
        <w:t>FI01: Payroll Liability Account Reconciliation</w:t>
      </w:r>
      <w:bookmarkEnd w:id="1"/>
      <w:r>
        <w:t xml:space="preserve">  </w:t>
      </w:r>
    </w:p>
    <w:p w14:paraId="3D07B044" w14:textId="77777777" w:rsidR="00A264B7" w:rsidRDefault="00000000">
      <w:pPr>
        <w:rPr>
          <w:b/>
        </w:rPr>
      </w:pPr>
      <w:r>
        <w:rPr>
          <w:b/>
        </w:rPr>
        <w:t>Who is impacted?</w:t>
      </w:r>
    </w:p>
    <w:p w14:paraId="3D07B045" w14:textId="77777777" w:rsidR="00A264B7" w:rsidRDefault="00000000">
      <w:pPr>
        <w:shd w:val="clear" w:color="auto" w:fill="FFFFFF"/>
        <w:spacing w:before="20" w:after="0" w:line="294" w:lineRule="auto"/>
        <w:rPr>
          <w:color w:val="444444"/>
          <w:sz w:val="22"/>
          <w:szCs w:val="22"/>
        </w:rPr>
      </w:pPr>
      <w:r>
        <w:rPr>
          <w:color w:val="444444"/>
          <w:sz w:val="22"/>
          <w:szCs w:val="22"/>
        </w:rPr>
        <w:t>Payroll Administrators</w:t>
      </w:r>
    </w:p>
    <w:p w14:paraId="3D07B046" w14:textId="77777777" w:rsidR="00A264B7" w:rsidRDefault="00000000">
      <w:pPr>
        <w:rPr>
          <w:b/>
        </w:rPr>
      </w:pPr>
      <w:r>
        <w:rPr>
          <w:b/>
        </w:rPr>
        <w:t xml:space="preserve">Process Change: </w:t>
      </w:r>
    </w:p>
    <w:p w14:paraId="3D07B047" w14:textId="77777777" w:rsidR="00A264B7" w:rsidRDefault="00000000">
      <w:pPr>
        <w:rPr>
          <w:color w:val="444444"/>
          <w:sz w:val="22"/>
          <w:szCs w:val="22"/>
          <w:highlight w:val="white"/>
        </w:rPr>
      </w:pPr>
      <w:r>
        <w:rPr>
          <w:color w:val="444444"/>
          <w:sz w:val="22"/>
          <w:szCs w:val="22"/>
          <w:highlight w:val="white"/>
        </w:rPr>
        <w:t xml:space="preserve">In Cardinal, the payroll activity recorded in the payroll journal includes liability accounts that should be cleared by voucher processing and central agency GL journals. </w:t>
      </w:r>
      <w:r>
        <w:rPr>
          <w:color w:val="444444"/>
          <w:sz w:val="22"/>
          <w:szCs w:val="22"/>
          <w:highlight w:val="white"/>
          <w:u w:val="single"/>
        </w:rPr>
        <w:t>Any</w:t>
      </w:r>
      <w:r>
        <w:rPr>
          <w:color w:val="444444"/>
          <w:sz w:val="22"/>
          <w:szCs w:val="22"/>
          <w:highlight w:val="white"/>
        </w:rPr>
        <w:t xml:space="preserve"> deductions that create a liability will require a non-PO voucher to be created.  </w:t>
      </w:r>
    </w:p>
    <w:p w14:paraId="3D07B048" w14:textId="77777777" w:rsidR="00A264B7" w:rsidRDefault="00000000">
      <w:pPr>
        <w:spacing w:before="240" w:after="240"/>
        <w:rPr>
          <w:color w:val="444444"/>
          <w:sz w:val="22"/>
          <w:szCs w:val="22"/>
          <w:highlight w:val="white"/>
        </w:rPr>
      </w:pPr>
      <w:r>
        <w:rPr>
          <w:color w:val="444444"/>
          <w:sz w:val="22"/>
          <w:szCs w:val="22"/>
          <w:highlight w:val="white"/>
        </w:rPr>
        <w:t>The following VCCS deductions have been identified as needing a non-PO Voucher to be created.  Please note each agency is responsible for reviewing their COVA deduction registers to determine if an action is required on their part.</w:t>
      </w:r>
    </w:p>
    <w:p w14:paraId="3D07B049" w14:textId="77777777" w:rsidR="00A264B7" w:rsidRDefault="00000000">
      <w:pPr>
        <w:spacing w:before="240" w:after="240"/>
        <w:rPr>
          <w:color w:val="444444"/>
          <w:sz w:val="22"/>
          <w:szCs w:val="22"/>
          <w:highlight w:val="white"/>
        </w:rPr>
      </w:pPr>
      <w:r>
        <w:rPr>
          <w:color w:val="444444"/>
          <w:sz w:val="22"/>
          <w:szCs w:val="22"/>
          <w:highlight w:val="white"/>
        </w:rPr>
        <w:t xml:space="preserve"> </w:t>
      </w:r>
    </w:p>
    <w:tbl>
      <w:tblPr>
        <w:tblStyle w:val="a"/>
        <w:tblW w:w="9364" w:type="dxa"/>
        <w:tblBorders>
          <w:top w:val="nil"/>
          <w:left w:val="nil"/>
          <w:bottom w:val="nil"/>
          <w:right w:val="nil"/>
          <w:insideH w:val="nil"/>
          <w:insideV w:val="nil"/>
        </w:tblBorders>
        <w:tblLayout w:type="fixed"/>
        <w:tblLook w:val="0600" w:firstRow="0" w:lastRow="0" w:firstColumn="0" w:lastColumn="0" w:noHBand="1" w:noVBand="1"/>
      </w:tblPr>
      <w:tblGrid>
        <w:gridCol w:w="556"/>
        <w:gridCol w:w="3525"/>
        <w:gridCol w:w="838"/>
        <w:gridCol w:w="3858"/>
        <w:gridCol w:w="587"/>
      </w:tblGrid>
      <w:tr w:rsidR="00A264B7" w14:paraId="3D07B04D" w14:textId="77777777">
        <w:trPr>
          <w:trHeight w:val="500"/>
        </w:trPr>
        <w:tc>
          <w:tcPr>
            <w:tcW w:w="555" w:type="dxa"/>
            <w:tcBorders>
              <w:top w:val="nil"/>
              <w:left w:val="nil"/>
              <w:bottom w:val="nil"/>
              <w:right w:val="nil"/>
            </w:tcBorders>
            <w:tcMar>
              <w:top w:w="100" w:type="dxa"/>
              <w:left w:w="100" w:type="dxa"/>
              <w:bottom w:w="100" w:type="dxa"/>
              <w:right w:w="100" w:type="dxa"/>
            </w:tcMar>
          </w:tcPr>
          <w:p w14:paraId="3D07B04A"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8221" w:type="dxa"/>
            <w:gridSpan w:val="3"/>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3D07B04B" w14:textId="77777777" w:rsidR="00A264B7" w:rsidRDefault="00000000">
            <w:pPr>
              <w:spacing w:before="240" w:after="240"/>
              <w:jc w:val="center"/>
              <w:rPr>
                <w:b/>
                <w:color w:val="444444"/>
                <w:sz w:val="16"/>
                <w:szCs w:val="16"/>
                <w:highlight w:val="white"/>
              </w:rPr>
            </w:pPr>
            <w:r>
              <w:rPr>
                <w:b/>
                <w:color w:val="444444"/>
                <w:sz w:val="16"/>
                <w:szCs w:val="16"/>
                <w:highlight w:val="white"/>
              </w:rPr>
              <w:t>Deduction Name</w:t>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4C"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53"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4E"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4F" w14:textId="77777777" w:rsidR="00A264B7" w:rsidRDefault="00000000">
            <w:pPr>
              <w:spacing w:before="240" w:after="240"/>
              <w:jc w:val="center"/>
              <w:rPr>
                <w:color w:val="444444"/>
                <w:sz w:val="16"/>
                <w:szCs w:val="16"/>
                <w:highlight w:val="white"/>
              </w:rPr>
            </w:pPr>
            <w:r>
              <w:rPr>
                <w:color w:val="444444"/>
                <w:sz w:val="16"/>
                <w:szCs w:val="16"/>
                <w:highlight w:val="white"/>
              </w:rPr>
              <w:t xml:space="preserve">ACAC         </w:t>
            </w:r>
          </w:p>
        </w:tc>
        <w:tc>
          <w:tcPr>
            <w:tcW w:w="838"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50"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D07B051" w14:textId="77777777" w:rsidR="00A264B7" w:rsidRDefault="00000000">
            <w:pPr>
              <w:spacing w:before="240" w:after="240"/>
              <w:jc w:val="center"/>
              <w:rPr>
                <w:color w:val="444444"/>
                <w:sz w:val="16"/>
                <w:szCs w:val="16"/>
                <w:highlight w:val="white"/>
              </w:rPr>
            </w:pPr>
            <w:r>
              <w:rPr>
                <w:color w:val="444444"/>
                <w:sz w:val="16"/>
                <w:szCs w:val="16"/>
                <w:highlight w:val="white"/>
              </w:rPr>
              <w:t>INSTADV/UNUM</w:t>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52"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59"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54"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55" w14:textId="77777777" w:rsidR="00A264B7" w:rsidRDefault="00000000">
            <w:pPr>
              <w:spacing w:before="240" w:after="240"/>
              <w:jc w:val="center"/>
              <w:rPr>
                <w:color w:val="444444"/>
                <w:sz w:val="16"/>
                <w:szCs w:val="16"/>
                <w:highlight w:val="white"/>
              </w:rPr>
            </w:pPr>
            <w:r>
              <w:rPr>
                <w:color w:val="444444"/>
                <w:sz w:val="16"/>
                <w:szCs w:val="16"/>
                <w:highlight w:val="white"/>
              </w:rPr>
              <w:t xml:space="preserve">ASSOC </w:t>
            </w:r>
            <w:proofErr w:type="gramStart"/>
            <w:r>
              <w:rPr>
                <w:color w:val="444444"/>
                <w:sz w:val="16"/>
                <w:szCs w:val="16"/>
                <w:highlight w:val="white"/>
              </w:rPr>
              <w:t xml:space="preserve">1  </w:t>
            </w:r>
            <w:r>
              <w:rPr>
                <w:color w:val="444444"/>
                <w:sz w:val="16"/>
                <w:szCs w:val="16"/>
                <w:highlight w:val="white"/>
              </w:rPr>
              <w:tab/>
            </w:r>
            <w:proofErr w:type="gramEnd"/>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56"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57" w14:textId="77777777" w:rsidR="00A264B7" w:rsidRDefault="00000000">
            <w:pPr>
              <w:spacing w:before="240" w:after="240"/>
              <w:jc w:val="center"/>
              <w:rPr>
                <w:color w:val="444444"/>
                <w:sz w:val="16"/>
                <w:szCs w:val="16"/>
                <w:highlight w:val="white"/>
              </w:rPr>
            </w:pPr>
            <w:r>
              <w:rPr>
                <w:color w:val="444444"/>
                <w:sz w:val="16"/>
                <w:szCs w:val="16"/>
                <w:highlight w:val="white"/>
              </w:rPr>
              <w:t>PARKING</w:t>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58"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5F"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5A"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5B" w14:textId="77777777" w:rsidR="00A264B7" w:rsidRDefault="00000000">
            <w:pPr>
              <w:spacing w:before="240" w:after="240"/>
              <w:jc w:val="center"/>
              <w:rPr>
                <w:color w:val="444444"/>
                <w:sz w:val="16"/>
                <w:szCs w:val="16"/>
                <w:highlight w:val="white"/>
              </w:rPr>
            </w:pPr>
            <w:r>
              <w:rPr>
                <w:color w:val="444444"/>
                <w:sz w:val="16"/>
                <w:szCs w:val="16"/>
                <w:highlight w:val="white"/>
              </w:rPr>
              <w:t>BR FITNESS CTR</w:t>
            </w:r>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5C"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5D" w14:textId="77777777" w:rsidR="00A264B7" w:rsidRDefault="00000000">
            <w:pPr>
              <w:spacing w:before="240" w:after="240"/>
              <w:jc w:val="center"/>
              <w:rPr>
                <w:color w:val="444444"/>
                <w:sz w:val="16"/>
                <w:szCs w:val="16"/>
                <w:highlight w:val="white"/>
              </w:rPr>
            </w:pPr>
            <w:r>
              <w:rPr>
                <w:color w:val="444444"/>
                <w:sz w:val="16"/>
                <w:szCs w:val="16"/>
                <w:highlight w:val="white"/>
              </w:rPr>
              <w:t>PDCCC FOUNDATI</w:t>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5E"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65"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60"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61" w14:textId="77777777" w:rsidR="00A264B7" w:rsidRDefault="00000000">
            <w:pPr>
              <w:spacing w:before="240" w:after="240"/>
              <w:jc w:val="center"/>
              <w:rPr>
                <w:color w:val="444444"/>
                <w:sz w:val="16"/>
                <w:szCs w:val="16"/>
                <w:highlight w:val="white"/>
              </w:rPr>
            </w:pPr>
            <w:r>
              <w:rPr>
                <w:color w:val="444444"/>
                <w:sz w:val="16"/>
                <w:szCs w:val="16"/>
                <w:highlight w:val="white"/>
              </w:rPr>
              <w:t xml:space="preserve">DUE </w:t>
            </w:r>
            <w:proofErr w:type="gramStart"/>
            <w:r>
              <w:rPr>
                <w:color w:val="444444"/>
                <w:sz w:val="16"/>
                <w:szCs w:val="16"/>
                <w:highlight w:val="white"/>
              </w:rPr>
              <w:t xml:space="preserve">AGY  </w:t>
            </w:r>
            <w:r>
              <w:rPr>
                <w:color w:val="444444"/>
                <w:sz w:val="16"/>
                <w:szCs w:val="16"/>
                <w:highlight w:val="white"/>
              </w:rPr>
              <w:tab/>
            </w:r>
            <w:proofErr w:type="gramEnd"/>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62"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63" w14:textId="77777777" w:rsidR="00A264B7" w:rsidRDefault="00000000">
            <w:pPr>
              <w:spacing w:before="240" w:after="240"/>
              <w:jc w:val="center"/>
              <w:rPr>
                <w:color w:val="444444"/>
                <w:sz w:val="16"/>
                <w:szCs w:val="16"/>
                <w:highlight w:val="white"/>
              </w:rPr>
            </w:pPr>
            <w:r>
              <w:rPr>
                <w:color w:val="444444"/>
                <w:sz w:val="16"/>
                <w:szCs w:val="16"/>
                <w:highlight w:val="white"/>
              </w:rPr>
              <w:t xml:space="preserve">PETTYCSH </w:t>
            </w:r>
            <w:r>
              <w:rPr>
                <w:color w:val="444444"/>
                <w:sz w:val="16"/>
                <w:szCs w:val="16"/>
                <w:highlight w:val="white"/>
              </w:rPr>
              <w:tab/>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64"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6B"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66"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67" w14:textId="77777777" w:rsidR="00A264B7" w:rsidRDefault="00000000">
            <w:pPr>
              <w:spacing w:before="240" w:after="240"/>
              <w:jc w:val="center"/>
              <w:rPr>
                <w:color w:val="444444"/>
                <w:sz w:val="16"/>
                <w:szCs w:val="16"/>
                <w:highlight w:val="white"/>
              </w:rPr>
            </w:pPr>
            <w:r>
              <w:rPr>
                <w:color w:val="444444"/>
                <w:sz w:val="16"/>
                <w:szCs w:val="16"/>
                <w:highlight w:val="white"/>
              </w:rPr>
              <w:t xml:space="preserve">EDUFOUND </w:t>
            </w:r>
            <w:r>
              <w:rPr>
                <w:color w:val="444444"/>
                <w:sz w:val="16"/>
                <w:szCs w:val="16"/>
                <w:highlight w:val="white"/>
              </w:rPr>
              <w:tab/>
            </w:r>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68"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69" w14:textId="77777777" w:rsidR="00A264B7" w:rsidRDefault="00000000">
            <w:pPr>
              <w:spacing w:before="240" w:after="240"/>
              <w:jc w:val="center"/>
              <w:rPr>
                <w:color w:val="444444"/>
                <w:sz w:val="16"/>
                <w:szCs w:val="16"/>
                <w:highlight w:val="white"/>
              </w:rPr>
            </w:pPr>
            <w:r>
              <w:rPr>
                <w:color w:val="444444"/>
                <w:sz w:val="16"/>
                <w:szCs w:val="16"/>
                <w:highlight w:val="white"/>
              </w:rPr>
              <w:t xml:space="preserve">SAL </w:t>
            </w:r>
            <w:proofErr w:type="gramStart"/>
            <w:r>
              <w:rPr>
                <w:color w:val="444444"/>
                <w:sz w:val="16"/>
                <w:szCs w:val="16"/>
                <w:highlight w:val="white"/>
              </w:rPr>
              <w:t xml:space="preserve">ADV  </w:t>
            </w:r>
            <w:r>
              <w:rPr>
                <w:color w:val="444444"/>
                <w:sz w:val="16"/>
                <w:szCs w:val="16"/>
                <w:highlight w:val="white"/>
              </w:rPr>
              <w:tab/>
            </w:r>
            <w:proofErr w:type="gramEnd"/>
          </w:p>
        </w:tc>
        <w:tc>
          <w:tcPr>
            <w:tcW w:w="587" w:type="dxa"/>
            <w:tcBorders>
              <w:top w:val="nil"/>
              <w:left w:val="nil"/>
              <w:bottom w:val="nil"/>
              <w:right w:val="nil"/>
            </w:tcBorders>
            <w:shd w:val="clear" w:color="auto" w:fill="auto"/>
            <w:tcMar>
              <w:top w:w="100" w:type="dxa"/>
              <w:left w:w="100" w:type="dxa"/>
              <w:bottom w:w="100" w:type="dxa"/>
              <w:right w:w="100" w:type="dxa"/>
            </w:tcMar>
          </w:tcPr>
          <w:p w14:paraId="3D07B06A"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71"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6C"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6D" w14:textId="77777777" w:rsidR="00A264B7" w:rsidRDefault="00000000">
            <w:pPr>
              <w:spacing w:before="240" w:after="240"/>
              <w:jc w:val="center"/>
              <w:rPr>
                <w:color w:val="444444"/>
                <w:sz w:val="16"/>
                <w:szCs w:val="16"/>
                <w:highlight w:val="white"/>
              </w:rPr>
            </w:pPr>
            <w:r>
              <w:rPr>
                <w:color w:val="444444"/>
                <w:sz w:val="16"/>
                <w:szCs w:val="16"/>
                <w:highlight w:val="white"/>
              </w:rPr>
              <w:t xml:space="preserve">EMPASOC1 </w:t>
            </w:r>
            <w:r>
              <w:rPr>
                <w:color w:val="444444"/>
                <w:sz w:val="16"/>
                <w:szCs w:val="16"/>
                <w:highlight w:val="white"/>
              </w:rPr>
              <w:tab/>
            </w:r>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6E"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6F" w14:textId="77777777" w:rsidR="00A264B7" w:rsidRDefault="00000000">
            <w:pPr>
              <w:spacing w:before="240" w:after="240"/>
              <w:jc w:val="center"/>
              <w:rPr>
                <w:color w:val="444444"/>
                <w:sz w:val="16"/>
                <w:szCs w:val="16"/>
                <w:highlight w:val="white"/>
              </w:rPr>
            </w:pPr>
            <w:r>
              <w:rPr>
                <w:color w:val="444444"/>
                <w:sz w:val="16"/>
                <w:szCs w:val="16"/>
                <w:highlight w:val="white"/>
              </w:rPr>
              <w:t xml:space="preserve">SCHLFUND </w:t>
            </w:r>
            <w:r>
              <w:rPr>
                <w:color w:val="444444"/>
                <w:sz w:val="16"/>
                <w:szCs w:val="16"/>
                <w:highlight w:val="white"/>
              </w:rPr>
              <w:tab/>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70"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77"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72" w14:textId="77777777" w:rsidR="00A264B7" w:rsidRDefault="00000000">
            <w:pPr>
              <w:spacing w:before="240" w:after="240"/>
              <w:rPr>
                <w:color w:val="444444"/>
                <w:sz w:val="22"/>
                <w:szCs w:val="22"/>
                <w:highlight w:val="white"/>
              </w:rPr>
            </w:pPr>
            <w:r>
              <w:rPr>
                <w:color w:val="444444"/>
                <w:sz w:val="22"/>
                <w:szCs w:val="22"/>
                <w:highlight w:val="white"/>
              </w:rPr>
              <w:lastRenderedPageBreak/>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73" w14:textId="77777777" w:rsidR="00A264B7" w:rsidRDefault="00000000">
            <w:pPr>
              <w:spacing w:before="240" w:after="240"/>
              <w:jc w:val="center"/>
              <w:rPr>
                <w:color w:val="444444"/>
                <w:sz w:val="16"/>
                <w:szCs w:val="16"/>
                <w:highlight w:val="white"/>
              </w:rPr>
            </w:pPr>
            <w:r>
              <w:rPr>
                <w:color w:val="444444"/>
                <w:sz w:val="16"/>
                <w:szCs w:val="16"/>
                <w:highlight w:val="white"/>
              </w:rPr>
              <w:t xml:space="preserve">EMPASOC2 </w:t>
            </w:r>
            <w:r>
              <w:rPr>
                <w:color w:val="444444"/>
                <w:sz w:val="16"/>
                <w:szCs w:val="16"/>
                <w:highlight w:val="white"/>
              </w:rPr>
              <w:tab/>
            </w:r>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74"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75" w14:textId="77777777" w:rsidR="00A264B7" w:rsidRDefault="00000000">
            <w:pPr>
              <w:spacing w:before="240" w:after="240"/>
              <w:jc w:val="center"/>
              <w:rPr>
                <w:color w:val="444444"/>
                <w:sz w:val="16"/>
                <w:szCs w:val="16"/>
                <w:highlight w:val="white"/>
              </w:rPr>
            </w:pPr>
            <w:r>
              <w:rPr>
                <w:color w:val="444444"/>
                <w:sz w:val="16"/>
                <w:szCs w:val="16"/>
                <w:highlight w:val="white"/>
              </w:rPr>
              <w:t xml:space="preserve">UNUM LTD </w:t>
            </w:r>
            <w:r>
              <w:rPr>
                <w:color w:val="444444"/>
                <w:sz w:val="16"/>
                <w:szCs w:val="16"/>
                <w:highlight w:val="white"/>
              </w:rPr>
              <w:tab/>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76"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7D" w14:textId="77777777">
        <w:trPr>
          <w:trHeight w:val="500"/>
        </w:trPr>
        <w:tc>
          <w:tcPr>
            <w:tcW w:w="555" w:type="dxa"/>
            <w:tcBorders>
              <w:top w:val="nil"/>
              <w:left w:val="nil"/>
              <w:bottom w:val="nil"/>
              <w:right w:val="nil"/>
            </w:tcBorders>
            <w:shd w:val="clear" w:color="auto" w:fill="auto"/>
            <w:tcMar>
              <w:top w:w="100" w:type="dxa"/>
              <w:left w:w="100" w:type="dxa"/>
              <w:bottom w:w="100" w:type="dxa"/>
              <w:right w:w="100" w:type="dxa"/>
            </w:tcMar>
          </w:tcPr>
          <w:p w14:paraId="3D07B078"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79" w14:textId="77777777" w:rsidR="00A264B7" w:rsidRDefault="00000000">
            <w:pPr>
              <w:spacing w:before="240" w:after="240"/>
              <w:jc w:val="center"/>
              <w:rPr>
                <w:color w:val="444444"/>
                <w:sz w:val="16"/>
                <w:szCs w:val="16"/>
                <w:highlight w:val="white"/>
              </w:rPr>
            </w:pPr>
            <w:proofErr w:type="gramStart"/>
            <w:r>
              <w:rPr>
                <w:color w:val="444444"/>
                <w:sz w:val="16"/>
                <w:szCs w:val="16"/>
                <w:highlight w:val="white"/>
              </w:rPr>
              <w:t xml:space="preserve">FOUNDAT  </w:t>
            </w:r>
            <w:r>
              <w:rPr>
                <w:color w:val="444444"/>
                <w:sz w:val="16"/>
                <w:szCs w:val="16"/>
                <w:highlight w:val="white"/>
              </w:rPr>
              <w:tab/>
            </w:r>
            <w:proofErr w:type="gramEnd"/>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7A"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07B07B" w14:textId="77777777" w:rsidR="00A264B7" w:rsidRDefault="00000000">
            <w:pPr>
              <w:spacing w:before="240" w:after="240"/>
              <w:jc w:val="center"/>
              <w:rPr>
                <w:color w:val="444444"/>
                <w:sz w:val="16"/>
                <w:szCs w:val="16"/>
                <w:highlight w:val="white"/>
              </w:rPr>
            </w:pPr>
            <w:r>
              <w:rPr>
                <w:color w:val="444444"/>
                <w:sz w:val="16"/>
                <w:szCs w:val="16"/>
                <w:highlight w:val="white"/>
              </w:rPr>
              <w:t>UNUM LTD*</w:t>
            </w:r>
            <w:r>
              <w:rPr>
                <w:color w:val="444444"/>
                <w:sz w:val="16"/>
                <w:szCs w:val="16"/>
                <w:highlight w:val="white"/>
              </w:rPr>
              <w:tab/>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7C"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83" w14:textId="77777777">
        <w:trPr>
          <w:trHeight w:val="706"/>
        </w:trPr>
        <w:tc>
          <w:tcPr>
            <w:tcW w:w="555" w:type="dxa"/>
            <w:tcBorders>
              <w:top w:val="nil"/>
              <w:left w:val="nil"/>
              <w:bottom w:val="nil"/>
              <w:right w:val="nil"/>
            </w:tcBorders>
            <w:shd w:val="clear" w:color="auto" w:fill="auto"/>
            <w:tcMar>
              <w:top w:w="100" w:type="dxa"/>
              <w:left w:w="100" w:type="dxa"/>
              <w:bottom w:w="100" w:type="dxa"/>
              <w:right w:w="100" w:type="dxa"/>
            </w:tcMar>
          </w:tcPr>
          <w:p w14:paraId="3D07B07E"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5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7B07F" w14:textId="77777777" w:rsidR="00A264B7" w:rsidRDefault="00000000">
            <w:pPr>
              <w:spacing w:before="240" w:after="240"/>
              <w:jc w:val="center"/>
              <w:rPr>
                <w:color w:val="444444"/>
                <w:sz w:val="16"/>
                <w:szCs w:val="16"/>
                <w:highlight w:val="white"/>
              </w:rPr>
            </w:pPr>
            <w:r>
              <w:rPr>
                <w:color w:val="444444"/>
                <w:sz w:val="16"/>
                <w:szCs w:val="16"/>
                <w:highlight w:val="white"/>
              </w:rPr>
              <w:t>FOUNDT</w:t>
            </w:r>
            <w:proofErr w:type="gramStart"/>
            <w:r>
              <w:rPr>
                <w:color w:val="444444"/>
                <w:sz w:val="16"/>
                <w:szCs w:val="16"/>
                <w:highlight w:val="white"/>
              </w:rPr>
              <w:t xml:space="preserve">2  </w:t>
            </w:r>
            <w:r>
              <w:rPr>
                <w:color w:val="444444"/>
                <w:sz w:val="16"/>
                <w:szCs w:val="16"/>
                <w:highlight w:val="white"/>
              </w:rPr>
              <w:tab/>
            </w:r>
            <w:proofErr w:type="gramEnd"/>
          </w:p>
        </w:tc>
        <w:tc>
          <w:tcPr>
            <w:tcW w:w="838"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3D07B080"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38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14:paraId="3D07B081"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c>
          <w:tcPr>
            <w:tcW w:w="587" w:type="dxa"/>
            <w:tcBorders>
              <w:top w:val="nil"/>
              <w:left w:val="nil"/>
              <w:bottom w:val="nil"/>
              <w:right w:val="nil"/>
            </w:tcBorders>
            <w:shd w:val="clear" w:color="auto" w:fill="auto"/>
            <w:tcMar>
              <w:top w:w="100" w:type="dxa"/>
              <w:left w:w="100" w:type="dxa"/>
              <w:bottom w:w="100" w:type="dxa"/>
              <w:right w:w="100" w:type="dxa"/>
            </w:tcMar>
          </w:tcPr>
          <w:p w14:paraId="3D07B082" w14:textId="77777777" w:rsidR="00A264B7" w:rsidRDefault="00000000">
            <w:pPr>
              <w:spacing w:before="240" w:after="240"/>
              <w:rPr>
                <w:color w:val="444444"/>
                <w:sz w:val="22"/>
                <w:szCs w:val="22"/>
                <w:highlight w:val="white"/>
              </w:rPr>
            </w:pPr>
            <w:r>
              <w:rPr>
                <w:color w:val="444444"/>
                <w:sz w:val="22"/>
                <w:szCs w:val="22"/>
                <w:highlight w:val="white"/>
              </w:rPr>
              <w:t xml:space="preserve"> </w:t>
            </w:r>
          </w:p>
        </w:tc>
      </w:tr>
      <w:tr w:rsidR="00A264B7" w14:paraId="3D07B085" w14:textId="77777777">
        <w:trPr>
          <w:trHeight w:val="500"/>
        </w:trPr>
        <w:tc>
          <w:tcPr>
            <w:tcW w:w="9363" w:type="dxa"/>
            <w:gridSpan w:val="5"/>
            <w:tcBorders>
              <w:top w:val="nil"/>
              <w:left w:val="nil"/>
              <w:bottom w:val="nil"/>
              <w:right w:val="nil"/>
            </w:tcBorders>
            <w:shd w:val="clear" w:color="auto" w:fill="auto"/>
            <w:tcMar>
              <w:top w:w="100" w:type="dxa"/>
              <w:left w:w="100" w:type="dxa"/>
              <w:bottom w:w="100" w:type="dxa"/>
              <w:right w:w="100" w:type="dxa"/>
            </w:tcMar>
            <w:vAlign w:val="bottom"/>
          </w:tcPr>
          <w:p w14:paraId="3D07B084" w14:textId="77777777" w:rsidR="00A264B7" w:rsidRDefault="00A264B7">
            <w:pPr>
              <w:rPr>
                <w:color w:val="444444"/>
                <w:sz w:val="22"/>
                <w:szCs w:val="22"/>
                <w:highlight w:val="white"/>
              </w:rPr>
            </w:pPr>
          </w:p>
        </w:tc>
      </w:tr>
      <w:tr w:rsidR="00A264B7" w14:paraId="3D07B08B" w14:textId="77777777">
        <w:trPr>
          <w:trHeight w:val="200"/>
        </w:trPr>
        <w:tc>
          <w:tcPr>
            <w:tcW w:w="555" w:type="dxa"/>
            <w:tcBorders>
              <w:top w:val="nil"/>
              <w:left w:val="nil"/>
              <w:bottom w:val="nil"/>
              <w:right w:val="nil"/>
            </w:tcBorders>
            <w:shd w:val="clear" w:color="auto" w:fill="auto"/>
            <w:tcMar>
              <w:top w:w="100" w:type="dxa"/>
              <w:left w:w="100" w:type="dxa"/>
              <w:bottom w:w="100" w:type="dxa"/>
              <w:right w:w="100" w:type="dxa"/>
            </w:tcMar>
          </w:tcPr>
          <w:p w14:paraId="3D07B086" w14:textId="77777777" w:rsidR="00A264B7" w:rsidRDefault="00A264B7">
            <w:pPr>
              <w:rPr>
                <w:color w:val="444444"/>
                <w:sz w:val="22"/>
                <w:szCs w:val="22"/>
                <w:highlight w:val="white"/>
              </w:rPr>
            </w:pPr>
          </w:p>
        </w:tc>
        <w:tc>
          <w:tcPr>
            <w:tcW w:w="3525" w:type="dxa"/>
            <w:tcBorders>
              <w:top w:val="nil"/>
              <w:left w:val="nil"/>
              <w:bottom w:val="nil"/>
              <w:right w:val="nil"/>
            </w:tcBorders>
            <w:shd w:val="clear" w:color="auto" w:fill="auto"/>
            <w:tcMar>
              <w:top w:w="100" w:type="dxa"/>
              <w:left w:w="100" w:type="dxa"/>
              <w:bottom w:w="100" w:type="dxa"/>
              <w:right w:w="100" w:type="dxa"/>
            </w:tcMar>
          </w:tcPr>
          <w:p w14:paraId="3D07B087" w14:textId="77777777" w:rsidR="00A264B7" w:rsidRDefault="00A264B7">
            <w:pPr>
              <w:rPr>
                <w:color w:val="444444"/>
                <w:sz w:val="22"/>
                <w:szCs w:val="22"/>
                <w:highlight w:val="white"/>
              </w:rPr>
            </w:pPr>
          </w:p>
        </w:tc>
        <w:tc>
          <w:tcPr>
            <w:tcW w:w="838" w:type="dxa"/>
            <w:tcBorders>
              <w:top w:val="nil"/>
              <w:left w:val="nil"/>
              <w:bottom w:val="nil"/>
              <w:right w:val="nil"/>
            </w:tcBorders>
            <w:shd w:val="clear" w:color="auto" w:fill="auto"/>
            <w:tcMar>
              <w:top w:w="100" w:type="dxa"/>
              <w:left w:w="100" w:type="dxa"/>
              <w:bottom w:w="100" w:type="dxa"/>
              <w:right w:w="100" w:type="dxa"/>
            </w:tcMar>
          </w:tcPr>
          <w:p w14:paraId="3D07B088" w14:textId="77777777" w:rsidR="00A264B7" w:rsidRDefault="00A264B7">
            <w:pPr>
              <w:rPr>
                <w:color w:val="444444"/>
                <w:sz w:val="22"/>
                <w:szCs w:val="22"/>
                <w:highlight w:val="white"/>
              </w:rPr>
            </w:pPr>
          </w:p>
        </w:tc>
        <w:tc>
          <w:tcPr>
            <w:tcW w:w="3858" w:type="dxa"/>
            <w:tcBorders>
              <w:top w:val="nil"/>
              <w:left w:val="nil"/>
              <w:bottom w:val="nil"/>
              <w:right w:val="nil"/>
            </w:tcBorders>
            <w:shd w:val="clear" w:color="auto" w:fill="auto"/>
            <w:tcMar>
              <w:top w:w="100" w:type="dxa"/>
              <w:left w:w="100" w:type="dxa"/>
              <w:bottom w:w="100" w:type="dxa"/>
              <w:right w:w="100" w:type="dxa"/>
            </w:tcMar>
          </w:tcPr>
          <w:p w14:paraId="3D07B089" w14:textId="77777777" w:rsidR="00A264B7" w:rsidRDefault="00A264B7">
            <w:pPr>
              <w:rPr>
                <w:color w:val="444444"/>
                <w:sz w:val="22"/>
                <w:szCs w:val="22"/>
                <w:highlight w:val="white"/>
              </w:rPr>
            </w:pPr>
          </w:p>
        </w:tc>
        <w:tc>
          <w:tcPr>
            <w:tcW w:w="587" w:type="dxa"/>
            <w:tcBorders>
              <w:top w:val="nil"/>
              <w:left w:val="nil"/>
              <w:bottom w:val="nil"/>
              <w:right w:val="nil"/>
            </w:tcBorders>
            <w:shd w:val="clear" w:color="auto" w:fill="auto"/>
            <w:tcMar>
              <w:top w:w="100" w:type="dxa"/>
              <w:left w:w="100" w:type="dxa"/>
              <w:bottom w:w="100" w:type="dxa"/>
              <w:right w:w="100" w:type="dxa"/>
            </w:tcMar>
          </w:tcPr>
          <w:p w14:paraId="3D07B08A" w14:textId="77777777" w:rsidR="00A264B7" w:rsidRDefault="00A264B7">
            <w:pPr>
              <w:rPr>
                <w:color w:val="444444"/>
                <w:sz w:val="22"/>
                <w:szCs w:val="22"/>
                <w:highlight w:val="white"/>
              </w:rPr>
            </w:pPr>
          </w:p>
        </w:tc>
      </w:tr>
    </w:tbl>
    <w:p w14:paraId="3D07B08C" w14:textId="77777777" w:rsidR="00A264B7" w:rsidRDefault="00A264B7">
      <w:pPr>
        <w:spacing w:before="240" w:after="240"/>
        <w:ind w:left="1440"/>
        <w:rPr>
          <w:color w:val="444444"/>
          <w:sz w:val="22"/>
          <w:szCs w:val="22"/>
          <w:highlight w:val="white"/>
        </w:rPr>
      </w:pPr>
    </w:p>
    <w:p w14:paraId="3D07B08D" w14:textId="77777777" w:rsidR="00A264B7" w:rsidRDefault="00000000">
      <w:pPr>
        <w:rPr>
          <w:b/>
        </w:rPr>
      </w:pPr>
      <w:r>
        <w:rPr>
          <w:b/>
        </w:rPr>
        <w:t xml:space="preserve">VCCS Impact: </w:t>
      </w:r>
    </w:p>
    <w:p w14:paraId="3D07B08E" w14:textId="77777777" w:rsidR="00A264B7" w:rsidRDefault="00000000">
      <w:pPr>
        <w:shd w:val="clear" w:color="auto" w:fill="FFFFFF"/>
        <w:spacing w:before="20" w:after="0" w:line="294" w:lineRule="auto"/>
      </w:pPr>
      <w:r>
        <w:rPr>
          <w:color w:val="444444"/>
          <w:sz w:val="22"/>
          <w:szCs w:val="22"/>
        </w:rPr>
        <w:t>Agencies will be responsible for reconciling the payroll liability accounts.</w:t>
      </w:r>
    </w:p>
    <w:p w14:paraId="3D07B08F" w14:textId="77777777" w:rsidR="00A264B7" w:rsidRDefault="00000000">
      <w:pPr>
        <w:rPr>
          <w:b/>
        </w:rPr>
      </w:pPr>
      <w:r>
        <w:rPr>
          <w:b/>
        </w:rPr>
        <w:t xml:space="preserve">Resources: </w:t>
      </w:r>
    </w:p>
    <w:p w14:paraId="3D07B090" w14:textId="77777777" w:rsidR="00A264B7" w:rsidRDefault="00000000">
      <w:pPr>
        <w:rPr>
          <w:b/>
        </w:rPr>
      </w:pPr>
      <w:r>
        <w:rPr>
          <w:color w:val="444444"/>
          <w:sz w:val="22"/>
          <w:szCs w:val="22"/>
          <w:highlight w:val="white"/>
        </w:rPr>
        <w:t xml:space="preserve">Please see page 213 of the </w:t>
      </w:r>
      <w:hyperlink r:id="rId12">
        <w:r>
          <w:rPr>
            <w:color w:val="1155CC"/>
            <w:sz w:val="22"/>
            <w:szCs w:val="22"/>
            <w:highlight w:val="white"/>
            <w:u w:val="single"/>
          </w:rPr>
          <w:t>PY381 Agency Payroll Management</w:t>
        </w:r>
      </w:hyperlink>
      <w:r>
        <w:rPr>
          <w:color w:val="444444"/>
          <w:sz w:val="22"/>
          <w:szCs w:val="22"/>
          <w:highlight w:val="white"/>
        </w:rPr>
        <w:t xml:space="preserve"> job aid</w:t>
      </w:r>
    </w:p>
    <w:p w14:paraId="3D07B091" w14:textId="77777777" w:rsidR="00A264B7" w:rsidRDefault="00A264B7"/>
    <w:p w14:paraId="3D07B092" w14:textId="77777777" w:rsidR="00A264B7" w:rsidRDefault="00000000">
      <w:pPr>
        <w:pStyle w:val="Heading1"/>
        <w:rPr>
          <w:b/>
        </w:rPr>
      </w:pPr>
      <w:bookmarkStart w:id="2" w:name="_Toc115106971"/>
      <w:r>
        <w:rPr>
          <w:b/>
        </w:rPr>
        <w:t>Accounts Payable Integration</w:t>
      </w:r>
      <w:bookmarkEnd w:id="2"/>
    </w:p>
    <w:p w14:paraId="3D07B093" w14:textId="77777777" w:rsidR="00A264B7" w:rsidRDefault="00000000">
      <w:pPr>
        <w:pStyle w:val="Heading2"/>
      </w:pPr>
      <w:bookmarkStart w:id="3" w:name="_Toc115106972"/>
      <w:r>
        <w:t>FI02: Employee Profile Sync Between HCM and Expense Module</w:t>
      </w:r>
      <w:bookmarkEnd w:id="3"/>
    </w:p>
    <w:p w14:paraId="3D07B094" w14:textId="77777777" w:rsidR="00A264B7" w:rsidRDefault="00000000">
      <w:pPr>
        <w:rPr>
          <w:b/>
        </w:rPr>
      </w:pPr>
      <w:r>
        <w:rPr>
          <w:b/>
        </w:rPr>
        <w:t>Who is impacted?</w:t>
      </w:r>
    </w:p>
    <w:p w14:paraId="3D07B095" w14:textId="77777777" w:rsidR="00A264B7" w:rsidRDefault="00000000">
      <w:r>
        <w:rPr>
          <w:color w:val="444444"/>
          <w:sz w:val="22"/>
          <w:szCs w:val="22"/>
          <w:highlight w:val="white"/>
        </w:rPr>
        <w:t>Accounts Payable Administration</w:t>
      </w:r>
    </w:p>
    <w:p w14:paraId="3D07B096" w14:textId="77777777" w:rsidR="00A264B7" w:rsidRDefault="00000000">
      <w:pPr>
        <w:rPr>
          <w:b/>
        </w:rPr>
      </w:pPr>
      <w:r>
        <w:rPr>
          <w:b/>
        </w:rPr>
        <w:t xml:space="preserve">Process Change: </w:t>
      </w:r>
    </w:p>
    <w:p w14:paraId="3D07B097" w14:textId="77777777" w:rsidR="00A264B7" w:rsidRDefault="00000000">
      <w:r>
        <w:rPr>
          <w:color w:val="444444"/>
          <w:sz w:val="22"/>
          <w:szCs w:val="22"/>
          <w:highlight w:val="white"/>
        </w:rPr>
        <w:t xml:space="preserve">In Cardinal, Expense module employee profile information (excluding default </w:t>
      </w:r>
      <w:proofErr w:type="spellStart"/>
      <w:r>
        <w:rPr>
          <w:color w:val="444444"/>
          <w:sz w:val="22"/>
          <w:szCs w:val="22"/>
          <w:highlight w:val="white"/>
        </w:rPr>
        <w:t>ChartField</w:t>
      </w:r>
      <w:proofErr w:type="spellEnd"/>
      <w:r>
        <w:rPr>
          <w:color w:val="444444"/>
          <w:sz w:val="22"/>
          <w:szCs w:val="22"/>
          <w:highlight w:val="white"/>
        </w:rPr>
        <w:t xml:space="preserve"> values and user preferences) will sync from HCM. </w:t>
      </w:r>
    </w:p>
    <w:p w14:paraId="3D07B098" w14:textId="77777777" w:rsidR="00A264B7" w:rsidRDefault="00000000">
      <w:pPr>
        <w:rPr>
          <w:b/>
        </w:rPr>
      </w:pPr>
      <w:r>
        <w:rPr>
          <w:b/>
        </w:rPr>
        <w:t xml:space="preserve">VCCS Impact: </w:t>
      </w:r>
    </w:p>
    <w:p w14:paraId="3D07B099" w14:textId="77777777" w:rsidR="00A264B7" w:rsidRDefault="00000000">
      <w:pPr>
        <w:shd w:val="clear" w:color="auto" w:fill="FFFFFF"/>
        <w:rPr>
          <w:color w:val="444444"/>
          <w:sz w:val="22"/>
          <w:szCs w:val="22"/>
        </w:rPr>
      </w:pPr>
      <w:r>
        <w:rPr>
          <w:color w:val="444444"/>
          <w:sz w:val="22"/>
          <w:szCs w:val="22"/>
        </w:rPr>
        <w:t>Agencies will no longer have to create employee profiles in the Expense module.</w:t>
      </w:r>
    </w:p>
    <w:p w14:paraId="3D07B09A" w14:textId="77777777" w:rsidR="00A264B7" w:rsidRDefault="00000000">
      <w:pPr>
        <w:shd w:val="clear" w:color="auto" w:fill="FFFFFF"/>
      </w:pPr>
      <w:r>
        <w:rPr>
          <w:color w:val="444444"/>
          <w:sz w:val="22"/>
          <w:szCs w:val="22"/>
        </w:rPr>
        <w:t xml:space="preserve">Agencies will only be able to create and maintain the optional default </w:t>
      </w:r>
      <w:proofErr w:type="spellStart"/>
      <w:r>
        <w:rPr>
          <w:color w:val="444444"/>
          <w:sz w:val="22"/>
          <w:szCs w:val="22"/>
        </w:rPr>
        <w:t>ChartField</w:t>
      </w:r>
      <w:proofErr w:type="spellEnd"/>
      <w:r>
        <w:rPr>
          <w:color w:val="444444"/>
          <w:sz w:val="22"/>
          <w:szCs w:val="22"/>
        </w:rPr>
        <w:t xml:space="preserve"> values and user preferences in the Expense module.</w:t>
      </w:r>
    </w:p>
    <w:p w14:paraId="3D07B09B" w14:textId="77777777" w:rsidR="00A264B7" w:rsidRDefault="00000000">
      <w:pPr>
        <w:rPr>
          <w:b/>
        </w:rPr>
      </w:pPr>
      <w:r>
        <w:rPr>
          <w:b/>
        </w:rPr>
        <w:lastRenderedPageBreak/>
        <w:t xml:space="preserve">Resources: </w:t>
      </w:r>
    </w:p>
    <w:p w14:paraId="3D07B09C" w14:textId="77777777" w:rsidR="00A264B7" w:rsidRDefault="00000000">
      <w:hyperlink r:id="rId13">
        <w:r>
          <w:rPr>
            <w:color w:val="1155CC"/>
            <w:u w:val="single"/>
          </w:rPr>
          <w:t>SW AP315: Employee Profile Interface Processing</w:t>
        </w:r>
      </w:hyperlink>
    </w:p>
    <w:p w14:paraId="3D07B09D" w14:textId="77777777" w:rsidR="00A264B7" w:rsidRDefault="00000000">
      <w:hyperlink r:id="rId14">
        <w:r>
          <w:rPr>
            <w:color w:val="1155CC"/>
            <w:u w:val="single"/>
          </w:rPr>
          <w:t>SW AP316 Creating and Updating an Employee Profile</w:t>
        </w:r>
      </w:hyperlink>
    </w:p>
    <w:p w14:paraId="3D07B09E" w14:textId="77777777" w:rsidR="00A264B7" w:rsidRDefault="00A264B7">
      <w:pPr>
        <w:rPr>
          <w:b/>
        </w:rPr>
      </w:pPr>
    </w:p>
    <w:p w14:paraId="3D07B09F" w14:textId="77777777" w:rsidR="00A264B7" w:rsidRDefault="00000000">
      <w:pPr>
        <w:pStyle w:val="Heading2"/>
      </w:pPr>
      <w:bookmarkStart w:id="4" w:name="_Toc115106973"/>
      <w:r>
        <w:t>FI03: HCM Supplier Voucher Process</w:t>
      </w:r>
      <w:bookmarkEnd w:id="4"/>
      <w:r>
        <w:t xml:space="preserve"> </w:t>
      </w:r>
    </w:p>
    <w:p w14:paraId="3D07B0A0" w14:textId="77777777" w:rsidR="00A264B7" w:rsidRDefault="00000000">
      <w:pPr>
        <w:rPr>
          <w:b/>
        </w:rPr>
      </w:pPr>
      <w:r>
        <w:rPr>
          <w:b/>
        </w:rPr>
        <w:t>Who is impacted?</w:t>
      </w:r>
    </w:p>
    <w:p w14:paraId="3D07B0A1" w14:textId="77777777" w:rsidR="00A264B7" w:rsidRDefault="00000000">
      <w:r>
        <w:t>Accounts Payable Administration</w:t>
      </w:r>
    </w:p>
    <w:p w14:paraId="3D07B0A2" w14:textId="77777777" w:rsidR="00A264B7" w:rsidRDefault="00000000">
      <w:pPr>
        <w:rPr>
          <w:b/>
        </w:rPr>
      </w:pPr>
      <w:r>
        <w:rPr>
          <w:b/>
        </w:rPr>
        <w:t xml:space="preserve">Process Change: </w:t>
      </w:r>
    </w:p>
    <w:p w14:paraId="3D07B0A3" w14:textId="77777777" w:rsidR="00A264B7" w:rsidRDefault="00000000">
      <w:pPr>
        <w:shd w:val="clear" w:color="auto" w:fill="FFFFFF"/>
        <w:rPr>
          <w:color w:val="444444"/>
          <w:sz w:val="22"/>
          <w:szCs w:val="22"/>
        </w:rPr>
      </w:pPr>
      <w:r>
        <w:rPr>
          <w:color w:val="444444"/>
          <w:sz w:val="22"/>
          <w:szCs w:val="22"/>
        </w:rPr>
        <w:t>Payments to HCM suppliers for miscellaneous deductions and state and local withholding taxes (excluding Virginia, Maryland, and West Virginia) will now be processed through AP by the line agency.  Agencies should select the appropriate supplier record designated with the HCM supplier classification for these payments to bypass debt setoff and payment cash checking.</w:t>
      </w:r>
    </w:p>
    <w:p w14:paraId="3D07B0A4" w14:textId="77777777" w:rsidR="00A264B7" w:rsidRDefault="00000000">
      <w:pPr>
        <w:shd w:val="clear" w:color="auto" w:fill="FFFFFF"/>
        <w:rPr>
          <w:color w:val="444444"/>
          <w:sz w:val="22"/>
          <w:szCs w:val="22"/>
        </w:rPr>
      </w:pPr>
      <w:r>
        <w:rPr>
          <w:color w:val="444444"/>
          <w:sz w:val="22"/>
          <w:szCs w:val="22"/>
        </w:rPr>
        <w:t>Only voucher processors with a special role will be able to use HCM suppliers on vouchers, and only online.</w:t>
      </w:r>
    </w:p>
    <w:p w14:paraId="3D07B0A5" w14:textId="77777777" w:rsidR="00A264B7" w:rsidRDefault="00000000">
      <w:pPr>
        <w:rPr>
          <w:b/>
        </w:rPr>
      </w:pPr>
      <w:r>
        <w:rPr>
          <w:b/>
        </w:rPr>
        <w:t xml:space="preserve">VCCS Impact: </w:t>
      </w:r>
    </w:p>
    <w:p w14:paraId="3D07B0A6" w14:textId="77777777" w:rsidR="00A264B7" w:rsidRDefault="00000000">
      <w:pPr>
        <w:shd w:val="clear" w:color="auto" w:fill="FFFFFF"/>
        <w:rPr>
          <w:color w:val="444444"/>
          <w:sz w:val="22"/>
          <w:szCs w:val="22"/>
        </w:rPr>
      </w:pPr>
      <w:r>
        <w:rPr>
          <w:color w:val="444444"/>
          <w:sz w:val="22"/>
          <w:szCs w:val="22"/>
        </w:rPr>
        <w:t>In Cardinal FIN, voucher processors will process payments to HCM suppliers.  Agencies can use the new payment handling code (PY) for these payments, ensuring related checks will be distributed by Treasury with other AP-related attachment checks.</w:t>
      </w:r>
    </w:p>
    <w:p w14:paraId="3D07B0A7" w14:textId="77777777" w:rsidR="00A264B7" w:rsidRDefault="00000000">
      <w:pPr>
        <w:shd w:val="clear" w:color="auto" w:fill="FFFFFF"/>
      </w:pPr>
      <w:r>
        <w:rPr>
          <w:color w:val="444444"/>
          <w:sz w:val="22"/>
          <w:szCs w:val="22"/>
        </w:rPr>
        <w:t>SPO will coordinate with CVG to establish HCM suppliers in Cardinal FIN.</w:t>
      </w:r>
    </w:p>
    <w:p w14:paraId="3D07B0A8" w14:textId="77777777" w:rsidR="00A264B7" w:rsidRDefault="00000000">
      <w:pPr>
        <w:rPr>
          <w:b/>
        </w:rPr>
      </w:pPr>
      <w:r>
        <w:rPr>
          <w:b/>
        </w:rPr>
        <w:t xml:space="preserve">Resources: </w:t>
      </w:r>
    </w:p>
    <w:p w14:paraId="3D07B0A9" w14:textId="77777777" w:rsidR="00A264B7" w:rsidRDefault="00000000">
      <w:r>
        <w:t>See Appendix A for VCCS Notification</w:t>
      </w:r>
    </w:p>
    <w:p w14:paraId="3D07B0AA" w14:textId="77777777" w:rsidR="00A264B7" w:rsidRDefault="00000000">
      <w:hyperlink r:id="rId15">
        <w:r>
          <w:rPr>
            <w:color w:val="1155CC"/>
            <w:u w:val="single"/>
          </w:rPr>
          <w:t>Reports Catalog</w:t>
        </w:r>
      </w:hyperlink>
      <w:r>
        <w:t xml:space="preserve"> - Specifically RPY146 and RPY174</w:t>
      </w:r>
    </w:p>
    <w:p w14:paraId="3D07B0AB" w14:textId="77777777" w:rsidR="00A264B7" w:rsidRDefault="00000000">
      <w:pPr>
        <w:pStyle w:val="Heading2"/>
      </w:pPr>
      <w:bookmarkStart w:id="5" w:name="_Toc115106974"/>
      <w:r>
        <w:t>FI04: Summarized HCM Voucher Accounting Data</w:t>
      </w:r>
      <w:bookmarkEnd w:id="5"/>
    </w:p>
    <w:p w14:paraId="3D07B0AC" w14:textId="77777777" w:rsidR="00A264B7" w:rsidRDefault="00000000">
      <w:pPr>
        <w:rPr>
          <w:b/>
        </w:rPr>
      </w:pPr>
      <w:r>
        <w:rPr>
          <w:b/>
        </w:rPr>
        <w:t>Who is impacted?</w:t>
      </w:r>
    </w:p>
    <w:p w14:paraId="3D07B0AD" w14:textId="77777777" w:rsidR="00A264B7" w:rsidRDefault="00000000">
      <w:r>
        <w:t>Payroll Administration</w:t>
      </w:r>
    </w:p>
    <w:p w14:paraId="3D07B0AE" w14:textId="77777777" w:rsidR="00A264B7" w:rsidRDefault="00000000">
      <w:pPr>
        <w:rPr>
          <w:b/>
        </w:rPr>
      </w:pPr>
      <w:r>
        <w:rPr>
          <w:b/>
        </w:rPr>
        <w:t xml:space="preserve">Process Change: </w:t>
      </w:r>
    </w:p>
    <w:p w14:paraId="3D07B0AF" w14:textId="77777777" w:rsidR="00A264B7" w:rsidRDefault="00000000">
      <w:r>
        <w:rPr>
          <w:color w:val="444444"/>
          <w:sz w:val="22"/>
          <w:szCs w:val="22"/>
          <w:highlight w:val="white"/>
        </w:rPr>
        <w:t>Accounts Payable Business Unit (AP BU) 99701 will be used for centralized HCM voucher processing (e.g., CVC deductions, deferred compensation) by SPO.</w:t>
      </w:r>
    </w:p>
    <w:p w14:paraId="3D07B0B0" w14:textId="77777777" w:rsidR="00A264B7" w:rsidRDefault="00000000">
      <w:pPr>
        <w:rPr>
          <w:b/>
        </w:rPr>
      </w:pPr>
      <w:r>
        <w:rPr>
          <w:b/>
        </w:rPr>
        <w:lastRenderedPageBreak/>
        <w:t xml:space="preserve">VCCS Impact: </w:t>
      </w:r>
    </w:p>
    <w:p w14:paraId="3D07B0B1" w14:textId="77777777" w:rsidR="00A264B7" w:rsidRDefault="00000000">
      <w:r>
        <w:t xml:space="preserve">No Impact to VCCS </w:t>
      </w:r>
      <w:proofErr w:type="gramStart"/>
      <w:r>
        <w:t>at this time</w:t>
      </w:r>
      <w:proofErr w:type="gramEnd"/>
      <w:r>
        <w:t>.</w:t>
      </w:r>
    </w:p>
    <w:p w14:paraId="3D07B0B2" w14:textId="77777777" w:rsidR="00A264B7" w:rsidRDefault="00A264B7"/>
    <w:p w14:paraId="3D07B0B3" w14:textId="77777777" w:rsidR="00A264B7" w:rsidRDefault="00000000">
      <w:pPr>
        <w:pStyle w:val="Heading2"/>
      </w:pPr>
      <w:bookmarkStart w:id="6" w:name="_Toc115106975"/>
      <w:r>
        <w:t>FI05: Login Credentials new</w:t>
      </w:r>
      <w:bookmarkEnd w:id="6"/>
    </w:p>
    <w:p w14:paraId="3D07B0B4" w14:textId="77777777" w:rsidR="00A264B7" w:rsidRDefault="00000000">
      <w:pPr>
        <w:rPr>
          <w:b/>
        </w:rPr>
      </w:pPr>
      <w:r>
        <w:rPr>
          <w:b/>
        </w:rPr>
        <w:t>Who is impacted?</w:t>
      </w:r>
    </w:p>
    <w:p w14:paraId="3D07B0B5" w14:textId="77777777" w:rsidR="00A264B7" w:rsidRDefault="00000000">
      <w:r>
        <w:t>All Finance Users</w:t>
      </w:r>
    </w:p>
    <w:p w14:paraId="3D07B0B6" w14:textId="77777777" w:rsidR="00A264B7" w:rsidRDefault="00000000">
      <w:pPr>
        <w:rPr>
          <w:b/>
        </w:rPr>
      </w:pPr>
      <w:r>
        <w:rPr>
          <w:b/>
        </w:rPr>
        <w:t xml:space="preserve">Process Change: </w:t>
      </w:r>
    </w:p>
    <w:p w14:paraId="3D07B0B7" w14:textId="77777777" w:rsidR="00A264B7" w:rsidRDefault="00000000">
      <w:r>
        <w:t xml:space="preserve">All Finance users will be required to start using their </w:t>
      </w:r>
      <w:proofErr w:type="spellStart"/>
      <w:r>
        <w:t>MyVCCS</w:t>
      </w:r>
      <w:proofErr w:type="spellEnd"/>
      <w:r>
        <w:t xml:space="preserve"> credentials with Cardinal Finance starting October 3, 2022.  </w:t>
      </w:r>
    </w:p>
    <w:p w14:paraId="3D07B0B8" w14:textId="77777777" w:rsidR="00A264B7" w:rsidRDefault="00000000">
      <w:pPr>
        <w:rPr>
          <w:b/>
        </w:rPr>
      </w:pPr>
      <w:r>
        <w:rPr>
          <w:b/>
        </w:rPr>
        <w:t xml:space="preserve">Resources: </w:t>
      </w:r>
    </w:p>
    <w:p w14:paraId="3D07B0B9" w14:textId="77777777" w:rsidR="00A264B7" w:rsidRDefault="00000000">
      <w:r>
        <w:t>Cardinal Instructions will be emailed separately.</w:t>
      </w:r>
    </w:p>
    <w:p w14:paraId="3D07B0BA" w14:textId="77777777" w:rsidR="00A264B7" w:rsidRDefault="00000000">
      <w:pPr>
        <w:rPr>
          <w:b/>
        </w:rPr>
      </w:pPr>
      <w:r>
        <w:br w:type="page"/>
      </w:r>
    </w:p>
    <w:p w14:paraId="3D07B0BB" w14:textId="77777777" w:rsidR="00A264B7" w:rsidRDefault="00000000">
      <w:pPr>
        <w:pStyle w:val="Heading1"/>
        <w:rPr>
          <w:b/>
        </w:rPr>
      </w:pPr>
      <w:bookmarkStart w:id="7" w:name="_Toc115106976"/>
      <w:r>
        <w:rPr>
          <w:b/>
        </w:rPr>
        <w:lastRenderedPageBreak/>
        <w:t>General Finance and Cardinal Links</w:t>
      </w:r>
      <w:bookmarkEnd w:id="7"/>
    </w:p>
    <w:p w14:paraId="3D07B0BC" w14:textId="77777777" w:rsidR="00A264B7" w:rsidRDefault="00000000">
      <w:hyperlink r:id="rId16">
        <w:r>
          <w:rPr>
            <w:color w:val="1155CC"/>
            <w:u w:val="single"/>
          </w:rPr>
          <w:t>https://www.cardinalproject.virginia.gov/finwbt</w:t>
        </w:r>
      </w:hyperlink>
      <w:r>
        <w:t xml:space="preserve"> - NAV220: Introduction to Cardinal Financial Reporting</w:t>
      </w:r>
    </w:p>
    <w:p w14:paraId="3D07B0BD" w14:textId="77777777" w:rsidR="00A264B7" w:rsidRDefault="00000000">
      <w:hyperlink r:id="rId17">
        <w:r>
          <w:rPr>
            <w:color w:val="1155CC"/>
            <w:u w:val="single"/>
          </w:rPr>
          <w:t>https://www.cardinalproject.virginia.gov/job-aids</w:t>
        </w:r>
      </w:hyperlink>
      <w:r>
        <w:t xml:space="preserve"> - When using this website, please pay attention to the modules and applications to avoid confusion. </w:t>
      </w:r>
    </w:p>
    <w:p w14:paraId="3D07B0BE" w14:textId="77777777" w:rsidR="00A264B7" w:rsidRDefault="00000000">
      <w:r>
        <w:rPr>
          <w:noProof/>
        </w:rPr>
        <w:drawing>
          <wp:inline distT="114300" distB="114300" distL="114300" distR="114300" wp14:anchorId="3D07B0DA" wp14:editId="3D07B0DB">
            <wp:extent cx="5943600" cy="156210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943600" cy="1562100"/>
                    </a:xfrm>
                    <a:prstGeom prst="rect">
                      <a:avLst/>
                    </a:prstGeom>
                    <a:ln/>
                  </pic:spPr>
                </pic:pic>
              </a:graphicData>
            </a:graphic>
          </wp:inline>
        </w:drawing>
      </w:r>
    </w:p>
    <w:p w14:paraId="3D07B0BF" w14:textId="77777777" w:rsidR="00A264B7" w:rsidRDefault="00000000">
      <w:r>
        <w:br w:type="page"/>
      </w:r>
    </w:p>
    <w:p w14:paraId="3D07B0C0" w14:textId="77777777" w:rsidR="00A264B7" w:rsidRDefault="00A264B7"/>
    <w:p w14:paraId="3D07B0C1" w14:textId="77777777" w:rsidR="00A264B7" w:rsidRDefault="00000000">
      <w:pPr>
        <w:pStyle w:val="Heading1"/>
        <w:rPr>
          <w:b/>
        </w:rPr>
      </w:pPr>
      <w:bookmarkStart w:id="8" w:name="_heading=h.33b3ypm85zzf" w:colFirst="0" w:colLast="0"/>
      <w:bookmarkStart w:id="9" w:name="_Toc115106977"/>
      <w:bookmarkEnd w:id="8"/>
      <w:r>
        <w:rPr>
          <w:b/>
        </w:rPr>
        <w:t>Appendix A: HCM Supplier Voucher Process</w:t>
      </w:r>
      <w:bookmarkEnd w:id="9"/>
      <w:r>
        <w:rPr>
          <w:b/>
        </w:rPr>
        <w:t xml:space="preserve"> </w:t>
      </w:r>
    </w:p>
    <w:p w14:paraId="3D07B0C2" w14:textId="77777777" w:rsidR="00A264B7" w:rsidRDefault="00000000">
      <w:r>
        <w:t>To:</w:t>
      </w:r>
      <w:r>
        <w:tab/>
      </w:r>
      <w:r>
        <w:tab/>
        <w:t>Vice Presidents of Financial and Administrative Services</w:t>
      </w:r>
    </w:p>
    <w:p w14:paraId="3D07B0C3" w14:textId="77777777" w:rsidR="00A264B7" w:rsidRDefault="00000000">
      <w:pPr>
        <w:spacing w:before="0" w:after="0" w:line="240" w:lineRule="auto"/>
      </w:pPr>
      <w:r>
        <w:t>From:</w:t>
      </w:r>
      <w:r>
        <w:tab/>
      </w:r>
      <w:r>
        <w:tab/>
        <w:t>Randy Ellis</w:t>
      </w:r>
      <w:r>
        <w:tab/>
      </w:r>
    </w:p>
    <w:p w14:paraId="3D07B0C4" w14:textId="77777777" w:rsidR="00A264B7" w:rsidRDefault="00000000">
      <w:pPr>
        <w:spacing w:before="0" w:after="0" w:line="240" w:lineRule="auto"/>
      </w:pPr>
      <w:r>
        <w:tab/>
      </w:r>
      <w:r>
        <w:tab/>
        <w:t>VCCS Controller</w:t>
      </w:r>
    </w:p>
    <w:p w14:paraId="3D07B0C5" w14:textId="77777777" w:rsidR="00A264B7" w:rsidRDefault="00000000">
      <w:r>
        <w:t>Date:</w:t>
      </w:r>
      <w:r>
        <w:tab/>
      </w:r>
      <w:r>
        <w:tab/>
        <w:t>August 2022</w:t>
      </w:r>
    </w:p>
    <w:p w14:paraId="3D07B0C6" w14:textId="77777777" w:rsidR="00A264B7" w:rsidRDefault="00000000">
      <w:r>
        <w:t>Subject:</w:t>
      </w:r>
      <w:r>
        <w:tab/>
        <w:t>Cardinal HCM Deductions Guidance</w:t>
      </w:r>
    </w:p>
    <w:p w14:paraId="3D07B0C7" w14:textId="77777777" w:rsidR="00A264B7" w:rsidRDefault="00000000">
      <w:pPr>
        <w:spacing w:before="240" w:after="240"/>
      </w:pPr>
      <w:r>
        <w:t>All,</w:t>
      </w:r>
    </w:p>
    <w:p w14:paraId="3D07B0C8" w14:textId="77777777" w:rsidR="00A264B7" w:rsidRDefault="00000000">
      <w:pPr>
        <w:spacing w:before="240" w:after="240"/>
      </w:pPr>
      <w:r>
        <w:t xml:space="preserve"> As the “Go-Live” date for the Cardinal HCM Project is fast approaching, several questions have been raised regarding the payment of various payroll-related withholding and deduction items. </w:t>
      </w:r>
      <w:r>
        <w:rPr>
          <w:b/>
        </w:rPr>
        <w:t>Certain</w:t>
      </w:r>
      <w:r>
        <w:t xml:space="preserve"> out-of-state taxes and other third-party Vendor payments will be processed through Accounts Payable by the agency instead of directly from Payroll.  Liability accounts will be created for agencies to process payments from and will need to be reconciled.  The System Office has met with the SSC Payroll and Accounts Payable team and would like to provide the following information.</w:t>
      </w:r>
    </w:p>
    <w:p w14:paraId="3D07B0C9" w14:textId="77777777" w:rsidR="00A264B7" w:rsidRDefault="00000000">
      <w:pPr>
        <w:spacing w:before="240" w:after="240"/>
      </w:pPr>
      <w:r>
        <w:t xml:space="preserve"> Cardinal Reports will be processed either by SSC Payroll or the Agency, depending on who is processing the payroll.  Reports will be available after payroll confirmation for each pay period which includes biweekly, semimonthly, and off cycles if applicable.  SSC Payroll will process these reports for their agencies as part of the Post Payroll process each pay period and save these reports in the Agency’s PSDATA drive.</w:t>
      </w:r>
    </w:p>
    <w:p w14:paraId="3D07B0CA" w14:textId="77777777" w:rsidR="00A264B7" w:rsidRDefault="00000000">
      <w:pPr>
        <w:spacing w:before="240" w:after="240"/>
        <w:rPr>
          <w:b/>
          <w:u w:val="single"/>
        </w:rPr>
      </w:pPr>
      <w:r>
        <w:t xml:space="preserve"> </w:t>
      </w:r>
      <w:r>
        <w:rPr>
          <w:b/>
          <w:u w:val="single"/>
        </w:rPr>
        <w:t>Process Pay Period Out-of-State Taxes</w:t>
      </w:r>
    </w:p>
    <w:p w14:paraId="3D07B0CB" w14:textId="77777777" w:rsidR="00A264B7" w:rsidRDefault="00000000">
      <w:pPr>
        <w:spacing w:before="240" w:after="240"/>
      </w:pPr>
      <w:r>
        <w:t xml:space="preserve"> Cardinal Payroll Report </w:t>
      </w:r>
      <w:r>
        <w:rPr>
          <w:b/>
        </w:rPr>
        <w:t xml:space="preserve">RPY174 </w:t>
      </w:r>
      <w:r>
        <w:t>is the Tax Remittance Report that will provide the amount and other details to be paid to states and localities manually via Accounts Payable.</w:t>
      </w:r>
    </w:p>
    <w:p w14:paraId="3D07B0CC" w14:textId="77777777" w:rsidR="00A264B7" w:rsidRDefault="00000000">
      <w:pPr>
        <w:spacing w:before="240" w:after="240"/>
      </w:pPr>
      <w:r>
        <w:t xml:space="preserve"> DOA automatically pays taxes for the following:  VA, DC, MD, WV, KY</w:t>
      </w:r>
    </w:p>
    <w:p w14:paraId="3D07B0CD" w14:textId="77777777" w:rsidR="00A264B7" w:rsidRDefault="00000000">
      <w:pPr>
        <w:numPr>
          <w:ilvl w:val="0"/>
          <w:numId w:val="1"/>
        </w:numPr>
        <w:spacing w:before="240" w:after="0"/>
      </w:pPr>
      <w:r>
        <w:t xml:space="preserve">All other states and localities on the RPY174 report will require agencies to submit a non-PO Voucher for each state and locality that requires payment.  This cannot be submitted until the liability has been posted. Checks will be sent to each agency which is the same payment method as today.  This is an </w:t>
      </w:r>
      <w:proofErr w:type="spellStart"/>
      <w:r>
        <w:t>Xbatch</w:t>
      </w:r>
      <w:proofErr w:type="spellEnd"/>
      <w:r>
        <w:t xml:space="preserve"> in AIS.  The agencies will be responsible for how they remit payments to the states, whether it will be through </w:t>
      </w:r>
      <w:proofErr w:type="spellStart"/>
      <w:r>
        <w:t>PCards</w:t>
      </w:r>
      <w:proofErr w:type="spellEnd"/>
      <w:r>
        <w:t xml:space="preserve">, ACH, or simply mailing the paper check.  </w:t>
      </w:r>
    </w:p>
    <w:p w14:paraId="3D07B0CE" w14:textId="77777777" w:rsidR="00A264B7" w:rsidRDefault="00000000">
      <w:pPr>
        <w:numPr>
          <w:ilvl w:val="0"/>
          <w:numId w:val="1"/>
        </w:numPr>
        <w:spacing w:before="0" w:after="240"/>
      </w:pPr>
      <w:r>
        <w:t>Vendors must be set up in both Cardinal and AIS.  Each agency needs to confirm before submitting voucher requests.</w:t>
      </w:r>
    </w:p>
    <w:p w14:paraId="3D07B0CF" w14:textId="77777777" w:rsidR="00A264B7" w:rsidRDefault="00000000">
      <w:pPr>
        <w:spacing w:before="240" w:after="240"/>
        <w:rPr>
          <w:b/>
          <w:u w:val="single"/>
        </w:rPr>
      </w:pPr>
      <w:r>
        <w:rPr>
          <w:b/>
          <w:u w:val="single"/>
        </w:rPr>
        <w:t>Process Pay Period Non-Tax Payments</w:t>
      </w:r>
    </w:p>
    <w:p w14:paraId="3D07B0D0" w14:textId="77777777" w:rsidR="00A264B7" w:rsidRDefault="00000000">
      <w:pPr>
        <w:spacing w:before="240" w:after="240"/>
      </w:pPr>
      <w:r>
        <w:t xml:space="preserve">Cardinal Payroll Report RPY146 is the COVA Deduction Register Report that lists employees who have any deductions subtracted from their pay. </w:t>
      </w:r>
    </w:p>
    <w:p w14:paraId="3D07B0D1" w14:textId="77777777" w:rsidR="00A264B7" w:rsidRDefault="00000000">
      <w:pPr>
        <w:spacing w:before="240" w:after="240"/>
      </w:pPr>
      <w:r>
        <w:lastRenderedPageBreak/>
        <w:t xml:space="preserve"> Additional deductions will require agency action. </w:t>
      </w:r>
      <w:r>
        <w:rPr>
          <w:u w:val="single"/>
        </w:rPr>
        <w:t>Any</w:t>
      </w:r>
      <w:r>
        <w:t xml:space="preserve"> deductions that create a liability will require a non-PO voucher to be created. Please see page 213 of the PY381 Agency Payroll Management job aid:</w:t>
      </w:r>
    </w:p>
    <w:p w14:paraId="3D07B0D2" w14:textId="77777777" w:rsidR="00A264B7" w:rsidRDefault="00000000">
      <w:pPr>
        <w:spacing w:before="240" w:after="240"/>
        <w:jc w:val="center"/>
      </w:pPr>
      <w:r>
        <w:rPr>
          <w:noProof/>
        </w:rPr>
        <w:drawing>
          <wp:inline distT="114300" distB="114300" distL="114300" distR="114300" wp14:anchorId="3D07B0DC" wp14:editId="3D07B0DD">
            <wp:extent cx="5310188" cy="3106119"/>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5310188" cy="3106119"/>
                    </a:xfrm>
                    <a:prstGeom prst="rect">
                      <a:avLst/>
                    </a:prstGeom>
                    <a:ln/>
                  </pic:spPr>
                </pic:pic>
              </a:graphicData>
            </a:graphic>
          </wp:inline>
        </w:drawing>
      </w:r>
    </w:p>
    <w:p w14:paraId="3D07B0D3" w14:textId="77777777" w:rsidR="00A264B7" w:rsidRDefault="00000000">
      <w:pPr>
        <w:spacing w:before="240" w:after="240"/>
      </w:pPr>
      <w:r>
        <w:t>The following VCCS deductions have been identified as needing a non-PO Voucher to be created.  Please note each agency is responsible for reviewing their COVA deduction registers to determine if an action is required on their part.</w:t>
      </w:r>
      <w:r>
        <w:rPr>
          <w:noProof/>
        </w:rPr>
        <w:drawing>
          <wp:anchor distT="114300" distB="114300" distL="114300" distR="114300" simplePos="0" relativeHeight="251659264" behindDoc="0" locked="0" layoutInCell="1" hidden="0" allowOverlap="1" wp14:anchorId="3D07B0DE" wp14:editId="3D07B0DF">
            <wp:simplePos x="0" y="0"/>
            <wp:positionH relativeFrom="column">
              <wp:posOffset>581025</wp:posOffset>
            </wp:positionH>
            <wp:positionV relativeFrom="paragraph">
              <wp:posOffset>701976</wp:posOffset>
            </wp:positionV>
            <wp:extent cx="4779736" cy="2022196"/>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4779736" cy="2022196"/>
                    </a:xfrm>
                    <a:prstGeom prst="rect">
                      <a:avLst/>
                    </a:prstGeom>
                    <a:ln/>
                  </pic:spPr>
                </pic:pic>
              </a:graphicData>
            </a:graphic>
          </wp:anchor>
        </w:drawing>
      </w:r>
    </w:p>
    <w:p w14:paraId="3D07B0D4" w14:textId="77777777" w:rsidR="00A264B7" w:rsidRDefault="00000000">
      <w:pPr>
        <w:spacing w:before="240" w:after="240"/>
        <w:jc w:val="center"/>
      </w:pPr>
      <w:r>
        <w:t xml:space="preserve"> </w:t>
      </w:r>
    </w:p>
    <w:p w14:paraId="3D07B0D5" w14:textId="77777777" w:rsidR="00A264B7" w:rsidRDefault="00A264B7">
      <w:pPr>
        <w:spacing w:before="240" w:after="240"/>
      </w:pPr>
    </w:p>
    <w:p w14:paraId="3D07B0D6" w14:textId="77777777" w:rsidR="00A264B7" w:rsidRDefault="00A264B7"/>
    <w:p w14:paraId="3D07B0D7" w14:textId="77777777" w:rsidR="00A264B7" w:rsidRDefault="00A264B7"/>
    <w:sectPr w:rsidR="00A264B7">
      <w:footerReference w:type="default" r:id="rId2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9419" w14:textId="77777777" w:rsidR="00D424C1" w:rsidRDefault="00D424C1">
      <w:pPr>
        <w:spacing w:before="0" w:after="0" w:line="240" w:lineRule="auto"/>
      </w:pPr>
      <w:r>
        <w:separator/>
      </w:r>
    </w:p>
  </w:endnote>
  <w:endnote w:type="continuationSeparator" w:id="0">
    <w:p w14:paraId="3B2D6993" w14:textId="77777777" w:rsidR="00D424C1" w:rsidRDefault="00D424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7B0E0" w14:textId="0CBA7E94" w:rsidR="00A264B7" w:rsidRDefault="00000000">
    <w:pPr>
      <w:pBdr>
        <w:top w:val="single" w:sz="4" w:space="1" w:color="D9D9D9"/>
        <w:left w:val="nil"/>
        <w:bottom w:val="nil"/>
        <w:right w:val="nil"/>
        <w:between w:val="nil"/>
      </w:pBdr>
      <w:tabs>
        <w:tab w:val="center" w:pos="4680"/>
        <w:tab w:val="right" w:pos="9360"/>
      </w:tabs>
      <w:spacing w:before="0" w:after="0" w:line="240" w:lineRule="auto"/>
      <w:rPr>
        <w:b/>
        <w:color w:val="000000"/>
      </w:rPr>
    </w:pPr>
    <w:r>
      <w:rPr>
        <w:color w:val="000000"/>
      </w:rPr>
      <w:fldChar w:fldCharType="begin"/>
    </w:r>
    <w:r>
      <w:rPr>
        <w:color w:val="000000"/>
      </w:rPr>
      <w:instrText>PAGE</w:instrText>
    </w:r>
    <w:r>
      <w:rPr>
        <w:color w:val="000000"/>
      </w:rPr>
      <w:fldChar w:fldCharType="separate"/>
    </w:r>
    <w:r w:rsidR="003B5480">
      <w:rPr>
        <w:noProof/>
        <w:color w:val="000000"/>
      </w:rPr>
      <w:t>2</w:t>
    </w:r>
    <w:r>
      <w:rPr>
        <w:color w:val="000000"/>
      </w:rPr>
      <w:fldChar w:fldCharType="end"/>
    </w:r>
    <w:r>
      <w:rPr>
        <w:b/>
        <w:color w:val="000000"/>
      </w:rPr>
      <w:t xml:space="preserve"> | </w:t>
    </w:r>
    <w:r>
      <w:rPr>
        <w:color w:val="7F7F7F"/>
      </w:rPr>
      <w:t>Page</w:t>
    </w:r>
  </w:p>
  <w:p w14:paraId="3D07B0E1" w14:textId="77777777" w:rsidR="00A264B7" w:rsidRDefault="00A264B7">
    <w:pPr>
      <w:pBdr>
        <w:top w:val="nil"/>
        <w:left w:val="nil"/>
        <w:bottom w:val="nil"/>
        <w:right w:val="nil"/>
        <w:between w:val="nil"/>
      </w:pBdr>
      <w:tabs>
        <w:tab w:val="center" w:pos="4680"/>
        <w:tab w:val="right" w:pos="936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7140" w14:textId="77777777" w:rsidR="00D424C1" w:rsidRDefault="00D424C1">
      <w:pPr>
        <w:spacing w:before="0" w:after="0" w:line="240" w:lineRule="auto"/>
      </w:pPr>
      <w:r>
        <w:separator/>
      </w:r>
    </w:p>
  </w:footnote>
  <w:footnote w:type="continuationSeparator" w:id="0">
    <w:p w14:paraId="416456A5" w14:textId="77777777" w:rsidR="00D424C1" w:rsidRDefault="00D424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E5313"/>
    <w:multiLevelType w:val="multilevel"/>
    <w:tmpl w:val="A9FA5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980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4B7"/>
    <w:rsid w:val="003B5480"/>
    <w:rsid w:val="00A264B7"/>
    <w:rsid w:val="00D42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7B030"/>
  <w15:docId w15:val="{40B332E9-E8E8-420E-81FC-8FF79E9F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A6"/>
  </w:style>
  <w:style w:type="paragraph" w:styleId="Heading1">
    <w:name w:val="heading 1"/>
    <w:basedOn w:val="Normal"/>
    <w:next w:val="Normal"/>
    <w:link w:val="Heading1Char"/>
    <w:uiPriority w:val="9"/>
    <w:qFormat/>
    <w:rsid w:val="00AA6049"/>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AA6049"/>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AA6049"/>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AA6049"/>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AA6049"/>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AA6049"/>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AA6049"/>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AA604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A604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6049"/>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AA6049"/>
    <w:rPr>
      <w:rFonts w:asciiTheme="majorHAnsi" w:eastAsiaTheme="majorEastAsia" w:hAnsiTheme="majorHAnsi" w:cstheme="majorBidi"/>
      <w:caps/>
      <w:color w:val="052F61" w:themeColor="accent1"/>
      <w:spacing w:val="10"/>
      <w:sz w:val="52"/>
      <w:szCs w:val="52"/>
    </w:rPr>
  </w:style>
  <w:style w:type="character" w:customStyle="1" w:styleId="Heading1Char">
    <w:name w:val="Heading 1 Char"/>
    <w:basedOn w:val="DefaultParagraphFont"/>
    <w:link w:val="Heading1"/>
    <w:uiPriority w:val="9"/>
    <w:rsid w:val="00AA6049"/>
    <w:rPr>
      <w:caps/>
      <w:color w:val="FFFFFF" w:themeColor="background1"/>
      <w:spacing w:val="15"/>
      <w:sz w:val="22"/>
      <w:szCs w:val="22"/>
      <w:shd w:val="clear" w:color="auto" w:fill="052F61" w:themeFill="accent1"/>
    </w:rPr>
  </w:style>
  <w:style w:type="paragraph" w:styleId="TOCHeading">
    <w:name w:val="TOC Heading"/>
    <w:basedOn w:val="Heading1"/>
    <w:next w:val="Normal"/>
    <w:uiPriority w:val="39"/>
    <w:unhideWhenUsed/>
    <w:qFormat/>
    <w:rsid w:val="00AA6049"/>
    <w:pPr>
      <w:outlineLvl w:val="9"/>
    </w:pPr>
  </w:style>
  <w:style w:type="character" w:customStyle="1" w:styleId="Heading2Char">
    <w:name w:val="Heading 2 Char"/>
    <w:basedOn w:val="DefaultParagraphFont"/>
    <w:link w:val="Heading2"/>
    <w:uiPriority w:val="9"/>
    <w:rsid w:val="00AA6049"/>
    <w:rPr>
      <w:caps/>
      <w:spacing w:val="15"/>
      <w:shd w:val="clear" w:color="auto" w:fill="B1D2FB" w:themeFill="accent1" w:themeFillTint="33"/>
    </w:rPr>
  </w:style>
  <w:style w:type="character" w:styleId="Strong">
    <w:name w:val="Strong"/>
    <w:uiPriority w:val="22"/>
    <w:qFormat/>
    <w:rsid w:val="00AA6049"/>
    <w:rPr>
      <w:b/>
      <w:bCs/>
    </w:rPr>
  </w:style>
  <w:style w:type="character" w:styleId="Hyperlink">
    <w:name w:val="Hyperlink"/>
    <w:basedOn w:val="DefaultParagraphFont"/>
    <w:uiPriority w:val="99"/>
    <w:unhideWhenUsed/>
    <w:rsid w:val="00DD7383"/>
    <w:rPr>
      <w:color w:val="0D2E46" w:themeColor="hyperlink"/>
      <w:u w:val="single"/>
    </w:rPr>
  </w:style>
  <w:style w:type="character" w:styleId="UnresolvedMention">
    <w:name w:val="Unresolved Mention"/>
    <w:basedOn w:val="DefaultParagraphFont"/>
    <w:uiPriority w:val="99"/>
    <w:semiHidden/>
    <w:unhideWhenUsed/>
    <w:rsid w:val="00DD7383"/>
    <w:rPr>
      <w:color w:val="605E5C"/>
      <w:shd w:val="clear" w:color="auto" w:fill="E1DFDD"/>
    </w:rPr>
  </w:style>
  <w:style w:type="paragraph" w:styleId="TOC1">
    <w:name w:val="toc 1"/>
    <w:basedOn w:val="Normal"/>
    <w:next w:val="Normal"/>
    <w:autoRedefine/>
    <w:uiPriority w:val="39"/>
    <w:unhideWhenUsed/>
    <w:rsid w:val="00DD7383"/>
    <w:pPr>
      <w:spacing w:after="100"/>
    </w:pPr>
  </w:style>
  <w:style w:type="paragraph" w:styleId="TOC2">
    <w:name w:val="toc 2"/>
    <w:basedOn w:val="Normal"/>
    <w:next w:val="Normal"/>
    <w:autoRedefine/>
    <w:uiPriority w:val="39"/>
    <w:unhideWhenUsed/>
    <w:rsid w:val="00DD7383"/>
    <w:pPr>
      <w:spacing w:after="100"/>
      <w:ind w:left="220"/>
    </w:pPr>
  </w:style>
  <w:style w:type="character" w:customStyle="1" w:styleId="Heading3Char">
    <w:name w:val="Heading 3 Char"/>
    <w:basedOn w:val="DefaultParagraphFont"/>
    <w:link w:val="Heading3"/>
    <w:uiPriority w:val="9"/>
    <w:semiHidden/>
    <w:rsid w:val="00AA6049"/>
    <w:rPr>
      <w:caps/>
      <w:color w:val="021730" w:themeColor="accent1" w:themeShade="7F"/>
      <w:spacing w:val="15"/>
    </w:rPr>
  </w:style>
  <w:style w:type="character" w:customStyle="1" w:styleId="Heading4Char">
    <w:name w:val="Heading 4 Char"/>
    <w:basedOn w:val="DefaultParagraphFont"/>
    <w:link w:val="Heading4"/>
    <w:uiPriority w:val="9"/>
    <w:semiHidden/>
    <w:rsid w:val="00AA6049"/>
    <w:rPr>
      <w:caps/>
      <w:color w:val="032348" w:themeColor="accent1" w:themeShade="BF"/>
      <w:spacing w:val="10"/>
    </w:rPr>
  </w:style>
  <w:style w:type="character" w:customStyle="1" w:styleId="Heading5Char">
    <w:name w:val="Heading 5 Char"/>
    <w:basedOn w:val="DefaultParagraphFont"/>
    <w:link w:val="Heading5"/>
    <w:uiPriority w:val="9"/>
    <w:semiHidden/>
    <w:rsid w:val="00AA6049"/>
    <w:rPr>
      <w:caps/>
      <w:color w:val="032348" w:themeColor="accent1" w:themeShade="BF"/>
      <w:spacing w:val="10"/>
    </w:rPr>
  </w:style>
  <w:style w:type="character" w:customStyle="1" w:styleId="Heading6Char">
    <w:name w:val="Heading 6 Char"/>
    <w:basedOn w:val="DefaultParagraphFont"/>
    <w:link w:val="Heading6"/>
    <w:uiPriority w:val="9"/>
    <w:semiHidden/>
    <w:rsid w:val="00AA6049"/>
    <w:rPr>
      <w:caps/>
      <w:color w:val="032348" w:themeColor="accent1" w:themeShade="BF"/>
      <w:spacing w:val="10"/>
    </w:rPr>
  </w:style>
  <w:style w:type="character" w:customStyle="1" w:styleId="Heading7Char">
    <w:name w:val="Heading 7 Char"/>
    <w:basedOn w:val="DefaultParagraphFont"/>
    <w:link w:val="Heading7"/>
    <w:uiPriority w:val="9"/>
    <w:semiHidden/>
    <w:rsid w:val="00AA6049"/>
    <w:rPr>
      <w:caps/>
      <w:color w:val="032348" w:themeColor="accent1" w:themeShade="BF"/>
      <w:spacing w:val="10"/>
    </w:rPr>
  </w:style>
  <w:style w:type="character" w:customStyle="1" w:styleId="Heading8Char">
    <w:name w:val="Heading 8 Char"/>
    <w:basedOn w:val="DefaultParagraphFont"/>
    <w:link w:val="Heading8"/>
    <w:uiPriority w:val="9"/>
    <w:semiHidden/>
    <w:rsid w:val="00AA6049"/>
    <w:rPr>
      <w:caps/>
      <w:spacing w:val="10"/>
      <w:sz w:val="18"/>
      <w:szCs w:val="18"/>
    </w:rPr>
  </w:style>
  <w:style w:type="character" w:customStyle="1" w:styleId="Heading9Char">
    <w:name w:val="Heading 9 Char"/>
    <w:basedOn w:val="DefaultParagraphFont"/>
    <w:link w:val="Heading9"/>
    <w:uiPriority w:val="9"/>
    <w:semiHidden/>
    <w:rsid w:val="00AA6049"/>
    <w:rPr>
      <w:i/>
      <w:iCs/>
      <w:caps/>
      <w:spacing w:val="10"/>
      <w:sz w:val="18"/>
      <w:szCs w:val="18"/>
    </w:rPr>
  </w:style>
  <w:style w:type="paragraph" w:styleId="Caption">
    <w:name w:val="caption"/>
    <w:basedOn w:val="Normal"/>
    <w:next w:val="Normal"/>
    <w:uiPriority w:val="35"/>
    <w:semiHidden/>
    <w:unhideWhenUsed/>
    <w:qFormat/>
    <w:rsid w:val="00AA6049"/>
    <w:rPr>
      <w:b/>
      <w:bCs/>
      <w:color w:val="032348" w:themeColor="accent1" w:themeShade="BF"/>
      <w:sz w:val="16"/>
      <w:szCs w:val="16"/>
    </w:rPr>
  </w:style>
  <w:style w:type="paragraph" w:styleId="Subtitle">
    <w:name w:val="Subtitle"/>
    <w:basedOn w:val="Normal"/>
    <w:next w:val="Normal"/>
    <w:link w:val="SubtitleChar"/>
    <w:uiPriority w:val="11"/>
    <w:qFormat/>
    <w:pPr>
      <w:spacing w:before="0" w:after="500" w:line="240" w:lineRule="auto"/>
    </w:pPr>
    <w:rPr>
      <w:smallCaps/>
      <w:color w:val="595959"/>
      <w:sz w:val="21"/>
      <w:szCs w:val="21"/>
    </w:rPr>
  </w:style>
  <w:style w:type="character" w:customStyle="1" w:styleId="SubtitleChar">
    <w:name w:val="Subtitle Char"/>
    <w:basedOn w:val="DefaultParagraphFont"/>
    <w:link w:val="Subtitle"/>
    <w:uiPriority w:val="11"/>
    <w:rsid w:val="00AA6049"/>
    <w:rPr>
      <w:caps/>
      <w:color w:val="595959" w:themeColor="text1" w:themeTint="A6"/>
      <w:spacing w:val="10"/>
      <w:sz w:val="21"/>
      <w:szCs w:val="21"/>
    </w:rPr>
  </w:style>
  <w:style w:type="character" w:styleId="Emphasis">
    <w:name w:val="Emphasis"/>
    <w:uiPriority w:val="20"/>
    <w:qFormat/>
    <w:rsid w:val="00AA6049"/>
    <w:rPr>
      <w:caps/>
      <w:color w:val="021730" w:themeColor="accent1" w:themeShade="7F"/>
      <w:spacing w:val="5"/>
    </w:rPr>
  </w:style>
  <w:style w:type="paragraph" w:styleId="NoSpacing">
    <w:name w:val="No Spacing"/>
    <w:uiPriority w:val="1"/>
    <w:qFormat/>
    <w:rsid w:val="00AA6049"/>
    <w:pPr>
      <w:spacing w:after="0" w:line="240" w:lineRule="auto"/>
    </w:pPr>
  </w:style>
  <w:style w:type="paragraph" w:styleId="Quote">
    <w:name w:val="Quote"/>
    <w:basedOn w:val="Normal"/>
    <w:next w:val="Normal"/>
    <w:link w:val="QuoteChar"/>
    <w:uiPriority w:val="29"/>
    <w:qFormat/>
    <w:rsid w:val="00AA6049"/>
    <w:rPr>
      <w:i/>
      <w:iCs/>
      <w:sz w:val="24"/>
      <w:szCs w:val="24"/>
    </w:rPr>
  </w:style>
  <w:style w:type="character" w:customStyle="1" w:styleId="QuoteChar">
    <w:name w:val="Quote Char"/>
    <w:basedOn w:val="DefaultParagraphFont"/>
    <w:link w:val="Quote"/>
    <w:uiPriority w:val="29"/>
    <w:rsid w:val="00AA6049"/>
    <w:rPr>
      <w:i/>
      <w:iCs/>
      <w:sz w:val="24"/>
      <w:szCs w:val="24"/>
    </w:rPr>
  </w:style>
  <w:style w:type="paragraph" w:styleId="IntenseQuote">
    <w:name w:val="Intense Quote"/>
    <w:basedOn w:val="Normal"/>
    <w:next w:val="Normal"/>
    <w:link w:val="IntenseQuoteChar"/>
    <w:uiPriority w:val="30"/>
    <w:qFormat/>
    <w:rsid w:val="00AA6049"/>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AA6049"/>
    <w:rPr>
      <w:color w:val="052F61" w:themeColor="accent1"/>
      <w:sz w:val="24"/>
      <w:szCs w:val="24"/>
    </w:rPr>
  </w:style>
  <w:style w:type="character" w:styleId="SubtleEmphasis">
    <w:name w:val="Subtle Emphasis"/>
    <w:uiPriority w:val="19"/>
    <w:qFormat/>
    <w:rsid w:val="00AA6049"/>
    <w:rPr>
      <w:i/>
      <w:iCs/>
      <w:color w:val="021730" w:themeColor="accent1" w:themeShade="7F"/>
    </w:rPr>
  </w:style>
  <w:style w:type="character" w:styleId="IntenseEmphasis">
    <w:name w:val="Intense Emphasis"/>
    <w:uiPriority w:val="21"/>
    <w:qFormat/>
    <w:rsid w:val="00AA6049"/>
    <w:rPr>
      <w:b/>
      <w:bCs/>
      <w:caps/>
      <w:color w:val="021730" w:themeColor="accent1" w:themeShade="7F"/>
      <w:spacing w:val="10"/>
    </w:rPr>
  </w:style>
  <w:style w:type="character" w:styleId="SubtleReference">
    <w:name w:val="Subtle Reference"/>
    <w:uiPriority w:val="31"/>
    <w:qFormat/>
    <w:rsid w:val="00AA6049"/>
    <w:rPr>
      <w:b/>
      <w:bCs/>
      <w:color w:val="052F61" w:themeColor="accent1"/>
    </w:rPr>
  </w:style>
  <w:style w:type="character" w:styleId="IntenseReference">
    <w:name w:val="Intense Reference"/>
    <w:uiPriority w:val="32"/>
    <w:qFormat/>
    <w:rsid w:val="00AA6049"/>
    <w:rPr>
      <w:b/>
      <w:bCs/>
      <w:i/>
      <w:iCs/>
      <w:caps/>
      <w:color w:val="052F61" w:themeColor="accent1"/>
    </w:rPr>
  </w:style>
  <w:style w:type="character" w:styleId="BookTitle">
    <w:name w:val="Book Title"/>
    <w:uiPriority w:val="33"/>
    <w:qFormat/>
    <w:rsid w:val="00AA6049"/>
    <w:rPr>
      <w:b/>
      <w:bCs/>
      <w:i/>
      <w:iCs/>
      <w:spacing w:val="0"/>
    </w:rPr>
  </w:style>
  <w:style w:type="paragraph" w:styleId="Header">
    <w:name w:val="header"/>
    <w:basedOn w:val="Normal"/>
    <w:link w:val="HeaderChar"/>
    <w:uiPriority w:val="99"/>
    <w:unhideWhenUsed/>
    <w:rsid w:val="004142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14249"/>
  </w:style>
  <w:style w:type="paragraph" w:styleId="Footer">
    <w:name w:val="footer"/>
    <w:basedOn w:val="Normal"/>
    <w:link w:val="FooterChar"/>
    <w:uiPriority w:val="99"/>
    <w:unhideWhenUsed/>
    <w:rsid w:val="00414249"/>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14249"/>
  </w:style>
  <w:style w:type="paragraph" w:styleId="ListParagraph">
    <w:name w:val="List Paragraph"/>
    <w:basedOn w:val="Normal"/>
    <w:uiPriority w:val="34"/>
    <w:qFormat/>
    <w:rsid w:val="00042690"/>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dinalproject.virginia.gov/sites/default/files/2021-04/SW%20AP315_Employee%20Profile%20Interface%20Processing.pd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ardinalproject.virginia.gov/sites/default/files/2022-03/PY381%20Agency%20Payroll%20Management%20Course.pdf" TargetMode="External"/><Relationship Id="rId17" Type="http://schemas.openxmlformats.org/officeDocument/2006/relationships/hyperlink" Target="https://www.cardinalproject.virginia.gov/job-aids" TargetMode="External"/><Relationship Id="rId2" Type="http://schemas.openxmlformats.org/officeDocument/2006/relationships/customXml" Target="../customXml/item2.xml"/><Relationship Id="rId16" Type="http://schemas.openxmlformats.org/officeDocument/2006/relationships/hyperlink" Target="https://www.cardinalproject.virginia.gov/finwbt"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nalproject.virginia.gov/sites/default/files/2021-09/HCM%20Reports%20Catalog.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nalproject.virginia.gov/sites/default/files/2021-04/SW%20AP316_Creating%20and%20Updating%20an%20Employee%20Profile.pdf" TargetMode="External"/><Relationship Id="rId22" Type="http://schemas.openxmlformats.org/officeDocument/2006/relationships/fontTable" Target="fontTable.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931b606-9e48-416a-a44a-d97cf412605f" xsi:nil="true"/>
    <lcf76f155ced4ddcb4097134ff3c332f xmlns="ac00cc81-8734-4cc7-8e37-cad098589804">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SWyOviHvHmnY8M6QrLP2V279tZA==">AMUW2mULZLvO4X+6WPiVcUx+0U3+fbMntXRlQLfZ3q2XaxQ4BztQ6ZySWPkwIyr75aW25O4eDv3PJBoLoXXeiI1uQcTmZ92y52Nllt/9RjdqwKXZ0aT7VYQ8GLi1ec2plUgST4KF32rzgN1OvWp3lpy5ZVFOyAunqfBo0+SK3F7X3Vbg9ShlffQV+zjs33Yc2L9KLYFqmXCmcBZu4TfmYGxL/X0XONHXkM1oWnPiYYdkLcsHrYPGgvLy8dRaHK1JDTkGv9um2PMG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DCCF190F7287488A69A37F863DC5C7" ma:contentTypeVersion="16" ma:contentTypeDescription="Create a new document." ma:contentTypeScope="" ma:versionID="0387709940e99de160cfcfdfdcdd6d9b">
  <xsd:schema xmlns:xsd="http://www.w3.org/2001/XMLSchema" xmlns:xs="http://www.w3.org/2001/XMLSchema" xmlns:p="http://schemas.microsoft.com/office/2006/metadata/properties" xmlns:ns1="http://schemas.microsoft.com/sharepoint/v3" xmlns:ns2="89d1500c-7f25-432d-b60b-f7467e279895" xmlns:ns3="ac00cc81-8734-4cc7-8e37-cad098589804" xmlns:ns4="2931b606-9e48-416a-a44a-d97cf412605f" targetNamespace="http://schemas.microsoft.com/office/2006/metadata/properties" ma:root="true" ma:fieldsID="a6f81f804c49553f52d944550896b166" ns1:_="" ns2:_="" ns3:_="" ns4:_="">
    <xsd:import namespace="http://schemas.microsoft.com/sharepoint/v3"/>
    <xsd:import namespace="89d1500c-7f25-432d-b60b-f7467e279895"/>
    <xsd:import namespace="ac00cc81-8734-4cc7-8e37-cad098589804"/>
    <xsd:import namespace="2931b606-9e48-416a-a44a-d97cf41260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d1500c-7f25-432d-b60b-f7467e2798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00cc81-8734-4cc7-8e37-cad098589804" elementFormDefault="qualified">
    <xsd:import namespace="http://schemas.microsoft.com/office/2006/documentManagement/types"/>
    <xsd:import namespace="http://schemas.microsoft.com/office/infopath/2007/PartnerControls"/>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6cc880-9fcd-4a93-8be9-a4bd3f1512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1b606-9e48-416a-a44a-d97cf41260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c17c69-aa41-48e8-89c3-1e23d67d368e}" ma:internalName="TaxCatchAll" ma:showField="CatchAllData" ma:web="2931b606-9e48-416a-a44a-d97cf41260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B2A95-B1F4-4917-A7B7-E46C784CB4A5}">
  <ds:schemaRefs>
    <ds:schemaRef ds:uri="http://schemas.microsoft.com/office/2006/metadata/properties"/>
    <ds:schemaRef ds:uri="http://schemas.microsoft.com/office/infopath/2007/PartnerControls"/>
    <ds:schemaRef ds:uri="http://schemas.microsoft.com/sharepoint/v3"/>
    <ds:schemaRef ds:uri="2931b606-9e48-416a-a44a-d97cf412605f"/>
    <ds:schemaRef ds:uri="ac00cc81-8734-4cc7-8e37-cad098589804"/>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6DB84C8-DC05-4027-9390-C7449C3B6853}">
  <ds:schemaRefs>
    <ds:schemaRef ds:uri="http://schemas.microsoft.com/sharepoint/v3/contenttype/forms"/>
  </ds:schemaRefs>
</ds:datastoreItem>
</file>

<file path=customXml/itemProps4.xml><?xml version="1.0" encoding="utf-8"?>
<ds:datastoreItem xmlns:ds="http://schemas.openxmlformats.org/officeDocument/2006/customXml" ds:itemID="{3D5570ED-41F0-48C8-A999-D218240B3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d1500c-7f25-432d-b60b-f7467e279895"/>
    <ds:schemaRef ds:uri="ac00cc81-8734-4cc7-8e37-cad098589804"/>
    <ds:schemaRef ds:uri="2931b606-9e48-416a-a44a-d97cf4126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Sheridan Jones</dc:creator>
  <cp:lastModifiedBy>Sheridan Jones</cp:lastModifiedBy>
  <cp:revision>2</cp:revision>
  <dcterms:created xsi:type="dcterms:W3CDTF">2022-09-20T19:23:00Z</dcterms:created>
  <dcterms:modified xsi:type="dcterms:W3CDTF">2022-09-26T21:49:00Z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2022-09-18T19:46:57Z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a11adc40-0f8b-4839-847e-674205143b85</vt:lpwstr>
  </property>
  <property fmtid="{D5CDD505-2E9C-101B-9397-08002B2CF9AE}" pid="8" name="MSIP_Label_ffa7a1fb-3f48-4fd9-bce0-6283cfafd648_ContentBits">
    <vt:lpwstr>0</vt:lpwstr>
  </property>
  <property fmtid="{D5CDD505-2E9C-101B-9397-08002B2CF9AE}" pid="9" name="ContentTypeId">
    <vt:lpwstr>0x010100A7DCCF190F7287488A69A37F863DC5C7</vt:lpwstr>
  </property>
  <property fmtid="{D5CDD505-2E9C-101B-9397-08002B2CF9AE}" pid="10" name="MediaServiceImageTags">
    <vt:lpwstr/>
  </property>
</Properties>
</file>