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1D54" w14:textId="77777777" w:rsidR="00A56BBB" w:rsidRDefault="00A56BBB" w:rsidP="00FD244B">
      <w:pPr>
        <w:rPr>
          <w:b/>
          <w:u w:val="single"/>
        </w:rPr>
      </w:pPr>
    </w:p>
    <w:p w14:paraId="217DFB61" w14:textId="77777777" w:rsidR="00A56BBB" w:rsidRDefault="00A56BBB" w:rsidP="00FD244B">
      <w:pPr>
        <w:rPr>
          <w:b/>
          <w:u w:val="single"/>
        </w:rPr>
      </w:pPr>
    </w:p>
    <w:p w14:paraId="7921863C" w14:textId="77777777" w:rsidR="00575926" w:rsidRPr="00266FBD" w:rsidRDefault="00575926" w:rsidP="00575926">
      <w:pPr>
        <w:pStyle w:val="Heading1"/>
      </w:pPr>
      <w:r w:rsidRPr="00266FBD">
        <w:t>MEMORANDUM</w:t>
      </w:r>
      <w:r w:rsidRPr="00266FBD">
        <w:rPr>
          <w:u w:val="none"/>
        </w:rPr>
        <w:t>:</w:t>
      </w:r>
    </w:p>
    <w:p w14:paraId="1627AF60" w14:textId="77777777" w:rsidR="00575926" w:rsidRPr="00266FBD" w:rsidRDefault="00575926" w:rsidP="00575926"/>
    <w:p w14:paraId="0B7FA7DB" w14:textId="77777777" w:rsidR="00575926" w:rsidRPr="00266FBD" w:rsidRDefault="003168D4" w:rsidP="00575926">
      <w:r>
        <w:t>To:</w:t>
      </w:r>
      <w:r>
        <w:tab/>
      </w:r>
      <w:r>
        <w:tab/>
      </w:r>
      <w:r w:rsidR="00575926">
        <w:t>Vice Presidents of Financial and Administrative Services</w:t>
      </w:r>
    </w:p>
    <w:p w14:paraId="3B5735F4" w14:textId="77777777" w:rsidR="00575926" w:rsidRPr="00266FBD" w:rsidRDefault="00575926" w:rsidP="00575926"/>
    <w:p w14:paraId="1BBDB0BA" w14:textId="77777777" w:rsidR="00575926" w:rsidRPr="00266FBD" w:rsidRDefault="00575926" w:rsidP="00575926">
      <w:pPr>
        <w:tabs>
          <w:tab w:val="left" w:pos="720"/>
          <w:tab w:val="left" w:pos="1440"/>
          <w:tab w:val="left" w:pos="2160"/>
          <w:tab w:val="left" w:pos="4965"/>
        </w:tabs>
      </w:pPr>
      <w:r>
        <w:t>From:</w:t>
      </w:r>
      <w:r>
        <w:tab/>
      </w:r>
      <w:r>
        <w:tab/>
        <w:t xml:space="preserve">Randy </w:t>
      </w:r>
      <w:r w:rsidR="00BF48A1">
        <w:t>Ellis</w:t>
      </w:r>
      <w:r>
        <w:tab/>
      </w:r>
    </w:p>
    <w:p w14:paraId="5731964D" w14:textId="77777777" w:rsidR="00575926" w:rsidRDefault="00575926" w:rsidP="00575926">
      <w:r w:rsidRPr="00266FBD">
        <w:tab/>
      </w:r>
      <w:r w:rsidRPr="00266FBD">
        <w:tab/>
        <w:t>VCCS Controller</w:t>
      </w:r>
    </w:p>
    <w:p w14:paraId="245FF3CC" w14:textId="77777777" w:rsidR="00575926" w:rsidRDefault="00575926" w:rsidP="00575926"/>
    <w:p w14:paraId="10189B33" w14:textId="16B20035" w:rsidR="00575926" w:rsidRPr="00266FBD" w:rsidRDefault="00AA7CD6" w:rsidP="00575926">
      <w:r>
        <w:t>Date:</w:t>
      </w:r>
      <w:r>
        <w:tab/>
      </w:r>
      <w:r>
        <w:tab/>
      </w:r>
      <w:r w:rsidR="00A6561C">
        <w:t>August</w:t>
      </w:r>
      <w:r w:rsidR="00EA7415">
        <w:t xml:space="preserve"> 2022</w:t>
      </w:r>
    </w:p>
    <w:p w14:paraId="1B06AEF3" w14:textId="77777777" w:rsidR="00575926" w:rsidRPr="00266FBD" w:rsidRDefault="00575926" w:rsidP="00575926">
      <w:pPr>
        <w:ind w:left="1440" w:hanging="1440"/>
      </w:pPr>
    </w:p>
    <w:p w14:paraId="3F404212" w14:textId="1358CA72" w:rsidR="00575926" w:rsidRDefault="00575926" w:rsidP="00575926">
      <w:pPr>
        <w:ind w:left="1440" w:hanging="1440"/>
      </w:pPr>
      <w:r>
        <w:t>Subject:</w:t>
      </w:r>
      <w:r>
        <w:tab/>
      </w:r>
      <w:r w:rsidR="00A6561C">
        <w:t>Cardinal HCM Deductions Guidance</w:t>
      </w:r>
    </w:p>
    <w:p w14:paraId="505B3D79" w14:textId="77777777" w:rsidR="00A6561C" w:rsidRDefault="00A6561C" w:rsidP="00575926">
      <w:pPr>
        <w:ind w:left="1440" w:hanging="1440"/>
      </w:pPr>
    </w:p>
    <w:p w14:paraId="0745CDDC" w14:textId="77777777" w:rsidR="00A6561C" w:rsidRDefault="00A6561C" w:rsidP="00A6561C">
      <w:r>
        <w:t>All,</w:t>
      </w:r>
    </w:p>
    <w:p w14:paraId="1BF71424" w14:textId="77777777" w:rsidR="00A6561C" w:rsidRDefault="00A6561C" w:rsidP="00A6561C"/>
    <w:p w14:paraId="70CC6ACA" w14:textId="33F6B484" w:rsidR="00A6561C" w:rsidRDefault="00A6561C" w:rsidP="00A6561C">
      <w:r w:rsidRPr="002E27CD">
        <w:t xml:space="preserve">As the “Go-Live” date for the Cardinal HCM </w:t>
      </w:r>
      <w:r w:rsidR="00683DB0">
        <w:t>P</w:t>
      </w:r>
      <w:r w:rsidRPr="002E27CD">
        <w:t xml:space="preserve">roject is fast approaching, several questions have </w:t>
      </w:r>
      <w:r w:rsidR="00683DB0">
        <w:t xml:space="preserve">been raised </w:t>
      </w:r>
      <w:r w:rsidRPr="002E27CD">
        <w:t xml:space="preserve">regarding </w:t>
      </w:r>
      <w:r w:rsidR="00683DB0">
        <w:t xml:space="preserve">the </w:t>
      </w:r>
      <w:r w:rsidRPr="002E27CD">
        <w:t>p</w:t>
      </w:r>
      <w:r w:rsidR="00683DB0">
        <w:t xml:space="preserve">ayment </w:t>
      </w:r>
      <w:r w:rsidRPr="002E27CD">
        <w:t>of various payroll</w:t>
      </w:r>
      <w:r w:rsidR="00683DB0">
        <w:t>-</w:t>
      </w:r>
      <w:r w:rsidRPr="002E27CD">
        <w:t xml:space="preserve">related </w:t>
      </w:r>
      <w:r>
        <w:t>withholding</w:t>
      </w:r>
      <w:r w:rsidR="00683DB0">
        <w:t xml:space="preserve"> and </w:t>
      </w:r>
      <w:r>
        <w:t xml:space="preserve">deduction </w:t>
      </w:r>
      <w:r w:rsidRPr="002E27CD">
        <w:t xml:space="preserve">items. </w:t>
      </w:r>
      <w:r w:rsidRPr="00683DB0">
        <w:rPr>
          <w:b/>
          <w:bCs/>
        </w:rPr>
        <w:t>Certain</w:t>
      </w:r>
      <w:r w:rsidRPr="002E27CD">
        <w:t xml:space="preserve"> out</w:t>
      </w:r>
      <w:r w:rsidR="00683DB0">
        <w:t>-of-</w:t>
      </w:r>
      <w:r w:rsidRPr="002E27CD">
        <w:t xml:space="preserve">state taxes and other </w:t>
      </w:r>
      <w:r w:rsidR="00683DB0">
        <w:t xml:space="preserve">third-party Vendor payments will be processed through Accounts Payable by the agency instead of directly from Payroll.  Liability accounts will be created for agencies to process payments from and will need to be reconciled.  </w:t>
      </w:r>
      <w:r w:rsidRPr="002E27CD">
        <w:t xml:space="preserve">The System Office has met with the SSC </w:t>
      </w:r>
      <w:r w:rsidR="00683DB0">
        <w:t>P</w:t>
      </w:r>
      <w:r w:rsidRPr="002E27CD">
        <w:t xml:space="preserve">ayroll </w:t>
      </w:r>
      <w:r w:rsidR="00683DB0">
        <w:t xml:space="preserve">and Accounts Payable </w:t>
      </w:r>
      <w:r w:rsidRPr="002E27CD">
        <w:t xml:space="preserve">team and </w:t>
      </w:r>
      <w:r w:rsidR="00683DB0">
        <w:t>would like to provide the following information.</w:t>
      </w:r>
    </w:p>
    <w:p w14:paraId="1A7809C4" w14:textId="7C3E041D" w:rsidR="00683DB0" w:rsidRDefault="00683DB0" w:rsidP="00A6561C"/>
    <w:p w14:paraId="571F80D5" w14:textId="0373921C" w:rsidR="00683DB0" w:rsidRDefault="00683DB0" w:rsidP="00683DB0">
      <w:r>
        <w:t xml:space="preserve">Cardinal </w:t>
      </w:r>
      <w:r>
        <w:t xml:space="preserve">Reports will be processed either by SSC Payroll or the Agency, depending on who is processing the payroll.  Reports will be available after payroll confirmation for each pay period which includes biweekly, semimonthly, and off cycles if applicable.  SSC Payroll will process these reports </w:t>
      </w:r>
      <w:r>
        <w:t xml:space="preserve">for their agencies </w:t>
      </w:r>
      <w:r>
        <w:t>as part of the Post Payroll process each pay period and save these reports in the Agency’s PSDATA drive</w:t>
      </w:r>
      <w:r>
        <w:t>.</w:t>
      </w:r>
    </w:p>
    <w:p w14:paraId="7230D9C6" w14:textId="77777777" w:rsidR="00683DB0" w:rsidRDefault="00683DB0" w:rsidP="00A6561C"/>
    <w:p w14:paraId="0CD24CFD" w14:textId="4634CB4C" w:rsidR="00683DB0" w:rsidRDefault="00683DB0" w:rsidP="00A6561C">
      <w:r>
        <w:rPr>
          <w:b/>
          <w:bCs/>
          <w:u w:val="single"/>
        </w:rPr>
        <w:t xml:space="preserve">Process Pay Period </w:t>
      </w:r>
      <w:r w:rsidRPr="00683DB0">
        <w:rPr>
          <w:b/>
          <w:bCs/>
          <w:u w:val="single"/>
        </w:rPr>
        <w:t>Out-of-State Taxes</w:t>
      </w:r>
    </w:p>
    <w:p w14:paraId="221EC92D" w14:textId="121884B0" w:rsidR="00683DB0" w:rsidRDefault="00683DB0" w:rsidP="00A6561C"/>
    <w:p w14:paraId="51A71666" w14:textId="3DC34C46" w:rsidR="00683DB0" w:rsidRDefault="00683DB0" w:rsidP="00A6561C">
      <w:r>
        <w:t xml:space="preserve">Cardinal Payroll Report </w:t>
      </w:r>
      <w:r w:rsidRPr="00683DB0">
        <w:rPr>
          <w:b/>
          <w:bCs/>
        </w:rPr>
        <w:t xml:space="preserve">RPY174 </w:t>
      </w:r>
      <w:r>
        <w:t>is the Tax Remittance Report that will provide the amount and other details to be paid to states and localities manually via Accounts Payable.</w:t>
      </w:r>
    </w:p>
    <w:p w14:paraId="0851F944" w14:textId="4BD46564" w:rsidR="00683DB0" w:rsidRDefault="00683DB0" w:rsidP="00A6561C"/>
    <w:p w14:paraId="2E42964E" w14:textId="173F03B2" w:rsidR="00683DB0" w:rsidRDefault="00683DB0" w:rsidP="00A6561C">
      <w:r>
        <w:t>DOA automatically pays taxes for the following:  VA, DC, MD, WV, KY</w:t>
      </w:r>
    </w:p>
    <w:p w14:paraId="677D940F" w14:textId="57A5FFD4" w:rsidR="00683DB0" w:rsidRDefault="00683DB0" w:rsidP="00A6561C"/>
    <w:p w14:paraId="39DA3CE4" w14:textId="77777777" w:rsidR="00683DB0" w:rsidRDefault="00683DB0" w:rsidP="00683DB0">
      <w:pPr>
        <w:pStyle w:val="ListParagraph"/>
        <w:numPr>
          <w:ilvl w:val="0"/>
          <w:numId w:val="10"/>
        </w:numPr>
      </w:pPr>
      <w:r>
        <w:t>All other states and localities on the RPY174 report will require agencies to submit a non-PO Voucher for each state and locality that requires payment.  This cannot be submitted until the liability has been posted. C</w:t>
      </w:r>
      <w:r w:rsidRPr="00683DB0">
        <w:t>heck</w:t>
      </w:r>
      <w:r>
        <w:t>s</w:t>
      </w:r>
      <w:r w:rsidRPr="00683DB0">
        <w:t xml:space="preserve"> will be sent to each agency</w:t>
      </w:r>
      <w:r>
        <w:t xml:space="preserve"> which is the same payment method as today.  This is an </w:t>
      </w:r>
      <w:proofErr w:type="spellStart"/>
      <w:r w:rsidRPr="00683DB0">
        <w:t>Xbatch</w:t>
      </w:r>
      <w:proofErr w:type="spellEnd"/>
      <w:r w:rsidRPr="00683DB0">
        <w:t xml:space="preserve"> in AIS</w:t>
      </w:r>
      <w:r>
        <w:t xml:space="preserve">.  The agencies will be responsible for how they remit payments to the states, whether it will be through </w:t>
      </w:r>
      <w:proofErr w:type="spellStart"/>
      <w:r>
        <w:t>PCards</w:t>
      </w:r>
      <w:proofErr w:type="spellEnd"/>
      <w:r>
        <w:t xml:space="preserve">, ACH, or simply mailing the paper check.  </w:t>
      </w:r>
    </w:p>
    <w:p w14:paraId="41A68241" w14:textId="77777777" w:rsidR="00683DB0" w:rsidRDefault="00683DB0" w:rsidP="00683DB0">
      <w:pPr>
        <w:ind w:left="720"/>
      </w:pPr>
    </w:p>
    <w:p w14:paraId="442B440C" w14:textId="6F5A5E21" w:rsidR="00683DB0" w:rsidRDefault="00683DB0" w:rsidP="00683DB0">
      <w:pPr>
        <w:pStyle w:val="ListParagraph"/>
        <w:numPr>
          <w:ilvl w:val="0"/>
          <w:numId w:val="10"/>
        </w:numPr>
      </w:pPr>
      <w:r>
        <w:t>Vendors must be set up in both Cardinal and AIS.  Each agency needs to confirm before submitting voucher requests.</w:t>
      </w:r>
    </w:p>
    <w:p w14:paraId="4D571DCC" w14:textId="258649C2" w:rsidR="00683DB0" w:rsidRDefault="00683DB0" w:rsidP="00683DB0">
      <w:pPr>
        <w:rPr>
          <w:b/>
          <w:bCs/>
          <w:u w:val="single"/>
        </w:rPr>
      </w:pPr>
      <w:r w:rsidRPr="00683DB0">
        <w:rPr>
          <w:b/>
          <w:bCs/>
          <w:u w:val="single"/>
        </w:rPr>
        <w:lastRenderedPageBreak/>
        <w:t>Process Pay Period Non-Tax Payments</w:t>
      </w:r>
    </w:p>
    <w:p w14:paraId="2BC86BC6" w14:textId="42DB4BAB" w:rsidR="00683DB0" w:rsidRDefault="00683DB0" w:rsidP="00683DB0">
      <w:pPr>
        <w:rPr>
          <w:b/>
          <w:bCs/>
          <w:u w:val="single"/>
        </w:rPr>
      </w:pPr>
    </w:p>
    <w:p w14:paraId="3D954409" w14:textId="03E79EBB" w:rsidR="00683DB0" w:rsidRDefault="00683DB0" w:rsidP="00A6561C">
      <w:r>
        <w:t xml:space="preserve">Cardinal Payroll Report RPY146 is the COVA Deduction Register Report that lists employees who have any deductions subtracted from their pay.  </w:t>
      </w:r>
    </w:p>
    <w:p w14:paraId="6EE37F3E" w14:textId="2895681C" w:rsidR="00683DB0" w:rsidRDefault="00683DB0" w:rsidP="00A6561C"/>
    <w:p w14:paraId="5050D09C" w14:textId="4BFE5B5F" w:rsidR="00683DB0" w:rsidRDefault="00683DB0" w:rsidP="00683DB0">
      <w:r w:rsidRPr="00BB1900">
        <w:t xml:space="preserve">Additional deductions </w:t>
      </w:r>
      <w:r>
        <w:t xml:space="preserve">will </w:t>
      </w:r>
      <w:r w:rsidRPr="00BB1900">
        <w:t xml:space="preserve">require agency action. </w:t>
      </w:r>
      <w:r w:rsidRPr="00683DB0">
        <w:rPr>
          <w:u w:val="single"/>
        </w:rPr>
        <w:t>Any</w:t>
      </w:r>
      <w:r w:rsidRPr="00BB1900">
        <w:t xml:space="preserve"> deductions that create a liability will require a non</w:t>
      </w:r>
      <w:r>
        <w:t>-PO</w:t>
      </w:r>
      <w:r w:rsidRPr="00BB1900">
        <w:t xml:space="preserve"> voucher to be </w:t>
      </w:r>
      <w:r>
        <w:t>created</w:t>
      </w:r>
      <w:r w:rsidRPr="00BB1900">
        <w:t xml:space="preserve">. </w:t>
      </w:r>
      <w:r>
        <w:t>Please see page 213 of the PY381 Agency Payroll Management job aid:</w:t>
      </w:r>
    </w:p>
    <w:p w14:paraId="3FE900C6" w14:textId="0CD09232" w:rsidR="00683DB0" w:rsidRPr="00BB1900" w:rsidRDefault="00683DB0" w:rsidP="00683DB0">
      <w:r>
        <w:rPr>
          <w:noProof/>
        </w:rPr>
        <w:drawing>
          <wp:inline distT="0" distB="0" distL="0" distR="0" wp14:anchorId="38854D8C" wp14:editId="2B86C53A">
            <wp:extent cx="5943600" cy="3462020"/>
            <wp:effectExtent l="0" t="0" r="0" b="508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8"/>
                    <a:stretch>
                      <a:fillRect/>
                    </a:stretch>
                  </pic:blipFill>
                  <pic:spPr>
                    <a:xfrm>
                      <a:off x="0" y="0"/>
                      <a:ext cx="5943600" cy="3462020"/>
                    </a:xfrm>
                    <a:prstGeom prst="rect">
                      <a:avLst/>
                    </a:prstGeom>
                  </pic:spPr>
                </pic:pic>
              </a:graphicData>
            </a:graphic>
          </wp:inline>
        </w:drawing>
      </w:r>
    </w:p>
    <w:p w14:paraId="5571007D" w14:textId="6B2C97B8" w:rsidR="00683DB0" w:rsidRDefault="00683DB0" w:rsidP="00A6561C"/>
    <w:p w14:paraId="235B4F81" w14:textId="180EAB40" w:rsidR="00683DB0" w:rsidRDefault="00683DB0" w:rsidP="00A6561C">
      <w:r>
        <w:t>The following VCCS deductions have been identified as needing a non-PO Voucher to be created.  Please note each agency is responsible for reviewing their COVA deduction registers to determine if an action is required on their part.</w:t>
      </w:r>
    </w:p>
    <w:p w14:paraId="54E51F49" w14:textId="77777777" w:rsidR="00683DB0" w:rsidRDefault="00683DB0" w:rsidP="00A6561C"/>
    <w:tbl>
      <w:tblPr>
        <w:tblW w:w="9360" w:type="dxa"/>
        <w:tblInd w:w="-10" w:type="dxa"/>
        <w:tblLook w:val="04A0" w:firstRow="1" w:lastRow="0" w:firstColumn="1" w:lastColumn="0" w:noHBand="0" w:noVBand="1"/>
      </w:tblPr>
      <w:tblGrid>
        <w:gridCol w:w="705"/>
        <w:gridCol w:w="3516"/>
        <w:gridCol w:w="509"/>
        <w:gridCol w:w="3928"/>
        <w:gridCol w:w="702"/>
      </w:tblGrid>
      <w:tr w:rsidR="00683DB0" w:rsidRPr="00683DB0" w14:paraId="1510A10F" w14:textId="77777777" w:rsidTr="00683DB0">
        <w:trPr>
          <w:gridBefore w:val="1"/>
          <w:gridAfter w:val="1"/>
          <w:wBefore w:w="705" w:type="dxa"/>
          <w:wAfter w:w="702" w:type="dxa"/>
          <w:trHeight w:val="307"/>
        </w:trPr>
        <w:tc>
          <w:tcPr>
            <w:tcW w:w="7953"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2FF64061" w14:textId="77777777" w:rsidR="00683DB0" w:rsidRPr="00683DB0" w:rsidRDefault="00683DB0" w:rsidP="00683DB0">
            <w:pPr>
              <w:jc w:val="center"/>
              <w:rPr>
                <w:b/>
                <w:bCs/>
                <w:color w:val="000000"/>
                <w:sz w:val="16"/>
                <w:szCs w:val="16"/>
              </w:rPr>
            </w:pPr>
            <w:r w:rsidRPr="00683DB0">
              <w:rPr>
                <w:b/>
                <w:bCs/>
                <w:color w:val="000000"/>
                <w:sz w:val="16"/>
                <w:szCs w:val="16"/>
              </w:rPr>
              <w:t>Deduction Name</w:t>
            </w:r>
          </w:p>
        </w:tc>
      </w:tr>
      <w:tr w:rsidR="00683DB0" w:rsidRPr="00683DB0" w14:paraId="1E0FC711" w14:textId="77777777" w:rsidTr="00683DB0">
        <w:trPr>
          <w:gridBefore w:val="1"/>
          <w:gridAfter w:val="1"/>
          <w:wBefore w:w="705" w:type="dxa"/>
          <w:wAfter w:w="702" w:type="dxa"/>
          <w:trHeight w:val="307"/>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F6B6E" w14:textId="77777777" w:rsidR="00683DB0" w:rsidRPr="00683DB0" w:rsidRDefault="00683DB0" w:rsidP="00683DB0">
            <w:pPr>
              <w:jc w:val="center"/>
              <w:rPr>
                <w:color w:val="000000"/>
                <w:sz w:val="16"/>
                <w:szCs w:val="16"/>
              </w:rPr>
            </w:pPr>
            <w:r w:rsidRPr="00683DB0">
              <w:rPr>
                <w:color w:val="000000"/>
                <w:sz w:val="16"/>
                <w:szCs w:val="16"/>
              </w:rPr>
              <w:t xml:space="preserve">ACAC         </w:t>
            </w:r>
          </w:p>
        </w:tc>
        <w:tc>
          <w:tcPr>
            <w:tcW w:w="509" w:type="dxa"/>
            <w:tcBorders>
              <w:top w:val="single" w:sz="4" w:space="0" w:color="auto"/>
              <w:left w:val="nil"/>
              <w:bottom w:val="single" w:sz="4" w:space="0" w:color="auto"/>
              <w:right w:val="single" w:sz="4" w:space="0" w:color="auto"/>
            </w:tcBorders>
            <w:shd w:val="clear" w:color="000000" w:fill="D9D9D9"/>
            <w:noWrap/>
            <w:vAlign w:val="bottom"/>
            <w:hideMark/>
          </w:tcPr>
          <w:p w14:paraId="16C93088"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F579584" w14:textId="77777777" w:rsidR="00683DB0" w:rsidRPr="00683DB0" w:rsidRDefault="00683DB0" w:rsidP="00683DB0">
            <w:pPr>
              <w:jc w:val="center"/>
              <w:rPr>
                <w:color w:val="000000"/>
                <w:sz w:val="16"/>
                <w:szCs w:val="16"/>
              </w:rPr>
            </w:pPr>
            <w:r w:rsidRPr="00683DB0">
              <w:rPr>
                <w:color w:val="000000"/>
                <w:sz w:val="16"/>
                <w:szCs w:val="16"/>
              </w:rPr>
              <w:t xml:space="preserve">INSTADV/UNUM </w:t>
            </w:r>
          </w:p>
        </w:tc>
      </w:tr>
      <w:tr w:rsidR="00683DB0" w:rsidRPr="00683DB0" w14:paraId="4341F789" w14:textId="77777777" w:rsidTr="00683DB0">
        <w:trPr>
          <w:gridBefore w:val="1"/>
          <w:gridAfter w:val="1"/>
          <w:wBefore w:w="705" w:type="dxa"/>
          <w:wAfter w:w="702" w:type="dxa"/>
          <w:trHeight w:val="307"/>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5E54900B" w14:textId="77777777" w:rsidR="00683DB0" w:rsidRPr="00683DB0" w:rsidRDefault="00683DB0" w:rsidP="00683DB0">
            <w:pPr>
              <w:jc w:val="center"/>
              <w:rPr>
                <w:color w:val="000000"/>
                <w:sz w:val="16"/>
                <w:szCs w:val="16"/>
              </w:rPr>
            </w:pPr>
            <w:r w:rsidRPr="00683DB0">
              <w:rPr>
                <w:color w:val="000000"/>
                <w:sz w:val="16"/>
                <w:szCs w:val="16"/>
              </w:rPr>
              <w:t xml:space="preserve">ASSOC 1      </w:t>
            </w:r>
          </w:p>
        </w:tc>
        <w:tc>
          <w:tcPr>
            <w:tcW w:w="509" w:type="dxa"/>
            <w:tcBorders>
              <w:top w:val="nil"/>
              <w:left w:val="nil"/>
              <w:bottom w:val="single" w:sz="4" w:space="0" w:color="auto"/>
              <w:right w:val="single" w:sz="4" w:space="0" w:color="auto"/>
            </w:tcBorders>
            <w:shd w:val="clear" w:color="000000" w:fill="D9D9D9"/>
            <w:noWrap/>
            <w:vAlign w:val="bottom"/>
            <w:hideMark/>
          </w:tcPr>
          <w:p w14:paraId="6D26F107"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nil"/>
              <w:left w:val="nil"/>
              <w:bottom w:val="single" w:sz="4" w:space="0" w:color="auto"/>
              <w:right w:val="single" w:sz="4" w:space="0" w:color="auto"/>
            </w:tcBorders>
            <w:shd w:val="clear" w:color="auto" w:fill="auto"/>
            <w:noWrap/>
            <w:vAlign w:val="center"/>
            <w:hideMark/>
          </w:tcPr>
          <w:p w14:paraId="09F97D20" w14:textId="77777777" w:rsidR="00683DB0" w:rsidRPr="00683DB0" w:rsidRDefault="00683DB0" w:rsidP="00683DB0">
            <w:pPr>
              <w:jc w:val="center"/>
              <w:rPr>
                <w:color w:val="000000"/>
                <w:sz w:val="16"/>
                <w:szCs w:val="16"/>
              </w:rPr>
            </w:pPr>
            <w:r w:rsidRPr="00683DB0">
              <w:rPr>
                <w:color w:val="000000"/>
                <w:sz w:val="16"/>
                <w:szCs w:val="16"/>
              </w:rPr>
              <w:t>PARKING</w:t>
            </w:r>
          </w:p>
        </w:tc>
      </w:tr>
      <w:tr w:rsidR="00683DB0" w:rsidRPr="00683DB0" w14:paraId="63328FF0" w14:textId="77777777" w:rsidTr="00683DB0">
        <w:trPr>
          <w:gridBefore w:val="1"/>
          <w:gridAfter w:val="1"/>
          <w:wBefore w:w="705" w:type="dxa"/>
          <w:wAfter w:w="702" w:type="dxa"/>
          <w:trHeight w:val="307"/>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54C2247A" w14:textId="77777777" w:rsidR="00683DB0" w:rsidRPr="00683DB0" w:rsidRDefault="00683DB0" w:rsidP="00683DB0">
            <w:pPr>
              <w:jc w:val="center"/>
              <w:rPr>
                <w:color w:val="000000"/>
                <w:sz w:val="16"/>
                <w:szCs w:val="16"/>
              </w:rPr>
            </w:pPr>
            <w:r w:rsidRPr="00683DB0">
              <w:rPr>
                <w:color w:val="000000"/>
                <w:sz w:val="16"/>
                <w:szCs w:val="16"/>
              </w:rPr>
              <w:t>BR FITNESS CTR</w:t>
            </w:r>
          </w:p>
        </w:tc>
        <w:tc>
          <w:tcPr>
            <w:tcW w:w="509" w:type="dxa"/>
            <w:tcBorders>
              <w:top w:val="nil"/>
              <w:left w:val="nil"/>
              <w:bottom w:val="single" w:sz="4" w:space="0" w:color="auto"/>
              <w:right w:val="single" w:sz="4" w:space="0" w:color="auto"/>
            </w:tcBorders>
            <w:shd w:val="clear" w:color="000000" w:fill="D9D9D9"/>
            <w:noWrap/>
            <w:vAlign w:val="bottom"/>
            <w:hideMark/>
          </w:tcPr>
          <w:p w14:paraId="36FE30C4"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nil"/>
              <w:left w:val="nil"/>
              <w:bottom w:val="single" w:sz="4" w:space="0" w:color="auto"/>
              <w:right w:val="single" w:sz="4" w:space="0" w:color="auto"/>
            </w:tcBorders>
            <w:shd w:val="clear" w:color="auto" w:fill="auto"/>
            <w:noWrap/>
            <w:vAlign w:val="center"/>
            <w:hideMark/>
          </w:tcPr>
          <w:p w14:paraId="50A19DE1" w14:textId="77777777" w:rsidR="00683DB0" w:rsidRPr="00683DB0" w:rsidRDefault="00683DB0" w:rsidP="00683DB0">
            <w:pPr>
              <w:jc w:val="center"/>
              <w:rPr>
                <w:color w:val="000000"/>
                <w:sz w:val="16"/>
                <w:szCs w:val="16"/>
              </w:rPr>
            </w:pPr>
            <w:r w:rsidRPr="00683DB0">
              <w:rPr>
                <w:color w:val="000000"/>
                <w:sz w:val="16"/>
                <w:szCs w:val="16"/>
              </w:rPr>
              <w:t>PDCCC FOUNDATI</w:t>
            </w:r>
          </w:p>
        </w:tc>
      </w:tr>
      <w:tr w:rsidR="00683DB0" w:rsidRPr="00683DB0" w14:paraId="481E9721" w14:textId="77777777" w:rsidTr="00683DB0">
        <w:trPr>
          <w:gridBefore w:val="1"/>
          <w:gridAfter w:val="1"/>
          <w:wBefore w:w="705" w:type="dxa"/>
          <w:wAfter w:w="702" w:type="dxa"/>
          <w:trHeight w:val="307"/>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25C8C3CE" w14:textId="77777777" w:rsidR="00683DB0" w:rsidRPr="00683DB0" w:rsidRDefault="00683DB0" w:rsidP="00683DB0">
            <w:pPr>
              <w:jc w:val="center"/>
              <w:rPr>
                <w:color w:val="000000"/>
                <w:sz w:val="16"/>
                <w:szCs w:val="16"/>
              </w:rPr>
            </w:pPr>
            <w:r w:rsidRPr="00683DB0">
              <w:rPr>
                <w:color w:val="000000"/>
                <w:sz w:val="16"/>
                <w:szCs w:val="16"/>
              </w:rPr>
              <w:t xml:space="preserve">DUE AGY      </w:t>
            </w:r>
          </w:p>
        </w:tc>
        <w:tc>
          <w:tcPr>
            <w:tcW w:w="509" w:type="dxa"/>
            <w:tcBorders>
              <w:top w:val="nil"/>
              <w:left w:val="nil"/>
              <w:bottom w:val="single" w:sz="4" w:space="0" w:color="auto"/>
              <w:right w:val="single" w:sz="4" w:space="0" w:color="auto"/>
            </w:tcBorders>
            <w:shd w:val="clear" w:color="000000" w:fill="D9D9D9"/>
            <w:noWrap/>
            <w:vAlign w:val="bottom"/>
            <w:hideMark/>
          </w:tcPr>
          <w:p w14:paraId="220C729B"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nil"/>
              <w:left w:val="nil"/>
              <w:bottom w:val="single" w:sz="4" w:space="0" w:color="auto"/>
              <w:right w:val="single" w:sz="4" w:space="0" w:color="auto"/>
            </w:tcBorders>
            <w:shd w:val="clear" w:color="auto" w:fill="auto"/>
            <w:noWrap/>
            <w:vAlign w:val="center"/>
            <w:hideMark/>
          </w:tcPr>
          <w:p w14:paraId="529563B2" w14:textId="77777777" w:rsidR="00683DB0" w:rsidRPr="00683DB0" w:rsidRDefault="00683DB0" w:rsidP="00683DB0">
            <w:pPr>
              <w:jc w:val="center"/>
              <w:rPr>
                <w:color w:val="000000"/>
                <w:sz w:val="16"/>
                <w:szCs w:val="16"/>
              </w:rPr>
            </w:pPr>
            <w:r w:rsidRPr="00683DB0">
              <w:rPr>
                <w:color w:val="000000"/>
                <w:sz w:val="16"/>
                <w:szCs w:val="16"/>
              </w:rPr>
              <w:t xml:space="preserve">PETTYCSH     </w:t>
            </w:r>
          </w:p>
        </w:tc>
      </w:tr>
      <w:tr w:rsidR="00683DB0" w:rsidRPr="00683DB0" w14:paraId="2937645D" w14:textId="77777777" w:rsidTr="00683DB0">
        <w:trPr>
          <w:gridBefore w:val="1"/>
          <w:gridAfter w:val="1"/>
          <w:wBefore w:w="705" w:type="dxa"/>
          <w:wAfter w:w="702" w:type="dxa"/>
          <w:trHeight w:val="307"/>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5898A34E" w14:textId="77777777" w:rsidR="00683DB0" w:rsidRPr="00683DB0" w:rsidRDefault="00683DB0" w:rsidP="00683DB0">
            <w:pPr>
              <w:jc w:val="center"/>
              <w:rPr>
                <w:color w:val="000000"/>
                <w:sz w:val="16"/>
                <w:szCs w:val="16"/>
              </w:rPr>
            </w:pPr>
            <w:r w:rsidRPr="00683DB0">
              <w:rPr>
                <w:color w:val="000000"/>
                <w:sz w:val="16"/>
                <w:szCs w:val="16"/>
              </w:rPr>
              <w:t xml:space="preserve">EDUFOUND     </w:t>
            </w:r>
          </w:p>
        </w:tc>
        <w:tc>
          <w:tcPr>
            <w:tcW w:w="509" w:type="dxa"/>
            <w:tcBorders>
              <w:top w:val="nil"/>
              <w:left w:val="nil"/>
              <w:bottom w:val="single" w:sz="4" w:space="0" w:color="auto"/>
              <w:right w:val="single" w:sz="4" w:space="0" w:color="auto"/>
            </w:tcBorders>
            <w:shd w:val="clear" w:color="000000" w:fill="D9D9D9"/>
            <w:noWrap/>
            <w:vAlign w:val="bottom"/>
            <w:hideMark/>
          </w:tcPr>
          <w:p w14:paraId="72BDCAC3"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nil"/>
              <w:left w:val="nil"/>
              <w:bottom w:val="single" w:sz="4" w:space="0" w:color="auto"/>
              <w:right w:val="single" w:sz="4" w:space="0" w:color="auto"/>
            </w:tcBorders>
            <w:shd w:val="clear" w:color="auto" w:fill="auto"/>
            <w:noWrap/>
            <w:vAlign w:val="center"/>
            <w:hideMark/>
          </w:tcPr>
          <w:p w14:paraId="76189C76" w14:textId="77777777" w:rsidR="00683DB0" w:rsidRPr="00683DB0" w:rsidRDefault="00683DB0" w:rsidP="00683DB0">
            <w:pPr>
              <w:jc w:val="center"/>
              <w:rPr>
                <w:color w:val="000000"/>
                <w:sz w:val="16"/>
                <w:szCs w:val="16"/>
              </w:rPr>
            </w:pPr>
            <w:r w:rsidRPr="00683DB0">
              <w:rPr>
                <w:color w:val="000000"/>
                <w:sz w:val="16"/>
                <w:szCs w:val="16"/>
              </w:rPr>
              <w:t xml:space="preserve">SAL ADV      </w:t>
            </w:r>
          </w:p>
        </w:tc>
      </w:tr>
      <w:tr w:rsidR="00683DB0" w:rsidRPr="00683DB0" w14:paraId="609E885A" w14:textId="77777777" w:rsidTr="00683DB0">
        <w:trPr>
          <w:gridBefore w:val="1"/>
          <w:gridAfter w:val="1"/>
          <w:wBefore w:w="705" w:type="dxa"/>
          <w:wAfter w:w="702" w:type="dxa"/>
          <w:trHeight w:val="307"/>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4D120340" w14:textId="77777777" w:rsidR="00683DB0" w:rsidRPr="00683DB0" w:rsidRDefault="00683DB0" w:rsidP="00683DB0">
            <w:pPr>
              <w:jc w:val="center"/>
              <w:rPr>
                <w:color w:val="000000"/>
                <w:sz w:val="16"/>
                <w:szCs w:val="16"/>
              </w:rPr>
            </w:pPr>
            <w:r w:rsidRPr="00683DB0">
              <w:rPr>
                <w:color w:val="000000"/>
                <w:sz w:val="16"/>
                <w:szCs w:val="16"/>
              </w:rPr>
              <w:t xml:space="preserve">EMPASOC1     </w:t>
            </w:r>
          </w:p>
        </w:tc>
        <w:tc>
          <w:tcPr>
            <w:tcW w:w="509" w:type="dxa"/>
            <w:tcBorders>
              <w:top w:val="nil"/>
              <w:left w:val="nil"/>
              <w:bottom w:val="single" w:sz="4" w:space="0" w:color="auto"/>
              <w:right w:val="single" w:sz="4" w:space="0" w:color="auto"/>
            </w:tcBorders>
            <w:shd w:val="clear" w:color="000000" w:fill="D9D9D9"/>
            <w:noWrap/>
            <w:vAlign w:val="bottom"/>
            <w:hideMark/>
          </w:tcPr>
          <w:p w14:paraId="47138252"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nil"/>
              <w:left w:val="nil"/>
              <w:bottom w:val="single" w:sz="4" w:space="0" w:color="auto"/>
              <w:right w:val="single" w:sz="4" w:space="0" w:color="auto"/>
            </w:tcBorders>
            <w:shd w:val="clear" w:color="auto" w:fill="auto"/>
            <w:noWrap/>
            <w:vAlign w:val="center"/>
            <w:hideMark/>
          </w:tcPr>
          <w:p w14:paraId="527B55FC" w14:textId="77777777" w:rsidR="00683DB0" w:rsidRPr="00683DB0" w:rsidRDefault="00683DB0" w:rsidP="00683DB0">
            <w:pPr>
              <w:jc w:val="center"/>
              <w:rPr>
                <w:color w:val="000000"/>
                <w:sz w:val="16"/>
                <w:szCs w:val="16"/>
              </w:rPr>
            </w:pPr>
            <w:r w:rsidRPr="00683DB0">
              <w:rPr>
                <w:color w:val="000000"/>
                <w:sz w:val="16"/>
                <w:szCs w:val="16"/>
              </w:rPr>
              <w:t xml:space="preserve">SCHLFUND     </w:t>
            </w:r>
          </w:p>
        </w:tc>
      </w:tr>
      <w:tr w:rsidR="00683DB0" w:rsidRPr="00683DB0" w14:paraId="7E033698" w14:textId="77777777" w:rsidTr="00683DB0">
        <w:trPr>
          <w:gridBefore w:val="1"/>
          <w:gridAfter w:val="1"/>
          <w:wBefore w:w="705" w:type="dxa"/>
          <w:wAfter w:w="702" w:type="dxa"/>
          <w:trHeight w:val="307"/>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3CE1BC70" w14:textId="77777777" w:rsidR="00683DB0" w:rsidRPr="00683DB0" w:rsidRDefault="00683DB0" w:rsidP="00683DB0">
            <w:pPr>
              <w:jc w:val="center"/>
              <w:rPr>
                <w:color w:val="000000"/>
                <w:sz w:val="16"/>
                <w:szCs w:val="16"/>
              </w:rPr>
            </w:pPr>
            <w:r w:rsidRPr="00683DB0">
              <w:rPr>
                <w:color w:val="000000"/>
                <w:sz w:val="16"/>
                <w:szCs w:val="16"/>
              </w:rPr>
              <w:t xml:space="preserve">EMPASOC2     </w:t>
            </w:r>
          </w:p>
        </w:tc>
        <w:tc>
          <w:tcPr>
            <w:tcW w:w="509" w:type="dxa"/>
            <w:tcBorders>
              <w:top w:val="nil"/>
              <w:left w:val="nil"/>
              <w:bottom w:val="single" w:sz="4" w:space="0" w:color="auto"/>
              <w:right w:val="single" w:sz="4" w:space="0" w:color="auto"/>
            </w:tcBorders>
            <w:shd w:val="clear" w:color="000000" w:fill="D9D9D9"/>
            <w:noWrap/>
            <w:vAlign w:val="bottom"/>
            <w:hideMark/>
          </w:tcPr>
          <w:p w14:paraId="3B06E310"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nil"/>
              <w:left w:val="nil"/>
              <w:bottom w:val="single" w:sz="4" w:space="0" w:color="auto"/>
              <w:right w:val="single" w:sz="4" w:space="0" w:color="auto"/>
            </w:tcBorders>
            <w:shd w:val="clear" w:color="auto" w:fill="auto"/>
            <w:noWrap/>
            <w:vAlign w:val="center"/>
            <w:hideMark/>
          </w:tcPr>
          <w:p w14:paraId="1241B681" w14:textId="77777777" w:rsidR="00683DB0" w:rsidRPr="00683DB0" w:rsidRDefault="00683DB0" w:rsidP="00683DB0">
            <w:pPr>
              <w:jc w:val="center"/>
              <w:rPr>
                <w:color w:val="000000"/>
                <w:sz w:val="16"/>
                <w:szCs w:val="16"/>
              </w:rPr>
            </w:pPr>
            <w:r w:rsidRPr="00683DB0">
              <w:rPr>
                <w:color w:val="000000"/>
                <w:sz w:val="16"/>
                <w:szCs w:val="16"/>
              </w:rPr>
              <w:t xml:space="preserve">UNUM LTD     </w:t>
            </w:r>
          </w:p>
        </w:tc>
      </w:tr>
      <w:tr w:rsidR="00683DB0" w:rsidRPr="00683DB0" w14:paraId="705095AF" w14:textId="77777777" w:rsidTr="00683DB0">
        <w:trPr>
          <w:gridBefore w:val="1"/>
          <w:gridAfter w:val="1"/>
          <w:wBefore w:w="705" w:type="dxa"/>
          <w:wAfter w:w="702" w:type="dxa"/>
          <w:trHeight w:val="307"/>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5C526D36" w14:textId="77777777" w:rsidR="00683DB0" w:rsidRPr="00683DB0" w:rsidRDefault="00683DB0" w:rsidP="00683DB0">
            <w:pPr>
              <w:jc w:val="center"/>
              <w:rPr>
                <w:color w:val="000000"/>
                <w:sz w:val="16"/>
                <w:szCs w:val="16"/>
              </w:rPr>
            </w:pPr>
            <w:r w:rsidRPr="00683DB0">
              <w:rPr>
                <w:color w:val="000000"/>
                <w:sz w:val="16"/>
                <w:szCs w:val="16"/>
              </w:rPr>
              <w:t xml:space="preserve">FOUNDAT      </w:t>
            </w:r>
          </w:p>
        </w:tc>
        <w:tc>
          <w:tcPr>
            <w:tcW w:w="509" w:type="dxa"/>
            <w:tcBorders>
              <w:top w:val="nil"/>
              <w:left w:val="nil"/>
              <w:bottom w:val="single" w:sz="4" w:space="0" w:color="auto"/>
              <w:right w:val="single" w:sz="4" w:space="0" w:color="auto"/>
            </w:tcBorders>
            <w:shd w:val="clear" w:color="000000" w:fill="D9D9D9"/>
            <w:noWrap/>
            <w:vAlign w:val="bottom"/>
            <w:hideMark/>
          </w:tcPr>
          <w:p w14:paraId="6134A488"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nil"/>
              <w:left w:val="nil"/>
              <w:bottom w:val="single" w:sz="4" w:space="0" w:color="auto"/>
              <w:right w:val="single" w:sz="4" w:space="0" w:color="auto"/>
            </w:tcBorders>
            <w:shd w:val="clear" w:color="auto" w:fill="auto"/>
            <w:noWrap/>
            <w:vAlign w:val="center"/>
            <w:hideMark/>
          </w:tcPr>
          <w:p w14:paraId="3B98CF2C" w14:textId="77777777" w:rsidR="00683DB0" w:rsidRPr="00683DB0" w:rsidRDefault="00683DB0" w:rsidP="00683DB0">
            <w:pPr>
              <w:jc w:val="center"/>
              <w:rPr>
                <w:color w:val="000000"/>
                <w:sz w:val="16"/>
                <w:szCs w:val="16"/>
              </w:rPr>
            </w:pPr>
            <w:r w:rsidRPr="00683DB0">
              <w:rPr>
                <w:color w:val="000000"/>
                <w:sz w:val="16"/>
                <w:szCs w:val="16"/>
              </w:rPr>
              <w:t xml:space="preserve">UNUM LTD*    </w:t>
            </w:r>
          </w:p>
        </w:tc>
      </w:tr>
      <w:tr w:rsidR="00683DB0" w:rsidRPr="00683DB0" w14:paraId="5571D36C" w14:textId="77777777" w:rsidTr="00683DB0">
        <w:trPr>
          <w:gridBefore w:val="1"/>
          <w:gridAfter w:val="1"/>
          <w:wBefore w:w="705" w:type="dxa"/>
          <w:wAfter w:w="702" w:type="dxa"/>
          <w:trHeight w:val="307"/>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5E8B5E72" w14:textId="77777777" w:rsidR="00683DB0" w:rsidRPr="00683DB0" w:rsidRDefault="00683DB0" w:rsidP="00683DB0">
            <w:pPr>
              <w:jc w:val="center"/>
              <w:rPr>
                <w:color w:val="000000"/>
                <w:sz w:val="16"/>
                <w:szCs w:val="16"/>
              </w:rPr>
            </w:pPr>
            <w:r w:rsidRPr="00683DB0">
              <w:rPr>
                <w:color w:val="000000"/>
                <w:sz w:val="16"/>
                <w:szCs w:val="16"/>
              </w:rPr>
              <w:t xml:space="preserve">FOUNDT2      </w:t>
            </w:r>
          </w:p>
        </w:tc>
        <w:tc>
          <w:tcPr>
            <w:tcW w:w="509" w:type="dxa"/>
            <w:tcBorders>
              <w:top w:val="nil"/>
              <w:left w:val="nil"/>
              <w:bottom w:val="single" w:sz="4" w:space="0" w:color="auto"/>
              <w:right w:val="single" w:sz="4" w:space="0" w:color="auto"/>
            </w:tcBorders>
            <w:shd w:val="clear" w:color="000000" w:fill="D9D9D9"/>
            <w:noWrap/>
            <w:vAlign w:val="bottom"/>
            <w:hideMark/>
          </w:tcPr>
          <w:p w14:paraId="23B32FA1"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c>
          <w:tcPr>
            <w:tcW w:w="3928" w:type="dxa"/>
            <w:tcBorders>
              <w:top w:val="nil"/>
              <w:left w:val="nil"/>
              <w:bottom w:val="single" w:sz="4" w:space="0" w:color="auto"/>
              <w:right w:val="single" w:sz="4" w:space="0" w:color="auto"/>
            </w:tcBorders>
            <w:shd w:val="clear" w:color="auto" w:fill="auto"/>
            <w:noWrap/>
            <w:vAlign w:val="bottom"/>
            <w:hideMark/>
          </w:tcPr>
          <w:p w14:paraId="2C3702C4" w14:textId="77777777" w:rsidR="00683DB0" w:rsidRPr="00683DB0" w:rsidRDefault="00683DB0" w:rsidP="00683DB0">
            <w:pPr>
              <w:rPr>
                <w:rFonts w:ascii="Calibri" w:hAnsi="Calibri" w:cs="Calibri"/>
                <w:color w:val="000000"/>
                <w:sz w:val="22"/>
                <w:szCs w:val="22"/>
              </w:rPr>
            </w:pPr>
            <w:r w:rsidRPr="00683DB0">
              <w:rPr>
                <w:rFonts w:ascii="Calibri" w:hAnsi="Calibri" w:cs="Calibri"/>
                <w:color w:val="000000"/>
                <w:sz w:val="22"/>
                <w:szCs w:val="22"/>
              </w:rPr>
              <w:t> </w:t>
            </w:r>
          </w:p>
        </w:tc>
      </w:tr>
      <w:tr w:rsidR="00A6561C" w:rsidRPr="002E27CD" w14:paraId="162780FA" w14:textId="77777777" w:rsidTr="00683DB0">
        <w:tblPrEx>
          <w:tblCellMar>
            <w:left w:w="0" w:type="dxa"/>
            <w:right w:w="0" w:type="dxa"/>
          </w:tblCellMar>
        </w:tblPrEx>
        <w:trPr>
          <w:trHeight w:val="300"/>
        </w:trPr>
        <w:tc>
          <w:tcPr>
            <w:tcW w:w="9360" w:type="dxa"/>
            <w:gridSpan w:val="5"/>
            <w:noWrap/>
            <w:tcMar>
              <w:top w:w="0" w:type="dxa"/>
              <w:left w:w="108" w:type="dxa"/>
              <w:bottom w:w="0" w:type="dxa"/>
              <w:right w:w="108" w:type="dxa"/>
            </w:tcMar>
            <w:vAlign w:val="bottom"/>
            <w:hideMark/>
          </w:tcPr>
          <w:p w14:paraId="72D2A597" w14:textId="47C8A535" w:rsidR="00A6561C" w:rsidRPr="00BB1900" w:rsidRDefault="00A6561C" w:rsidP="00683DB0">
            <w:pPr>
              <w:ind w:left="720"/>
            </w:pPr>
          </w:p>
        </w:tc>
      </w:tr>
    </w:tbl>
    <w:p w14:paraId="2AFB5703" w14:textId="6E7FD74D" w:rsidR="00A6561C" w:rsidRPr="00266FBD" w:rsidRDefault="00A6561C" w:rsidP="00575926">
      <w:pPr>
        <w:ind w:left="1440" w:hanging="1440"/>
      </w:pPr>
    </w:p>
    <w:sectPr w:rsidR="00A6561C" w:rsidRPr="00266FBD" w:rsidSect="00A05AD3">
      <w:headerReference w:type="defaul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FC56" w14:textId="77777777" w:rsidR="0034006A" w:rsidRDefault="0034006A" w:rsidP="003D7666">
      <w:r>
        <w:separator/>
      </w:r>
    </w:p>
  </w:endnote>
  <w:endnote w:type="continuationSeparator" w:id="0">
    <w:p w14:paraId="431B5903" w14:textId="77777777" w:rsidR="0034006A" w:rsidRDefault="0034006A" w:rsidP="003D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9A5F" w14:textId="77777777" w:rsidR="00A56BBB" w:rsidRDefault="00A56BBB">
    <w:pPr>
      <w:pStyle w:val="Footer"/>
    </w:pPr>
    <w:r>
      <w:rPr>
        <w:rFonts w:hint="eastAsia"/>
        <w:noProof/>
      </w:rPr>
      <w:drawing>
        <wp:inline distT="0" distB="0" distL="0" distR="0" wp14:anchorId="668C3F95" wp14:editId="2D701DDB">
          <wp:extent cx="5943600" cy="73736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Word2.png"/>
                  <pic:cNvPicPr/>
                </pic:nvPicPr>
                <pic:blipFill>
                  <a:blip r:embed="rId1">
                    <a:extLst>
                      <a:ext uri="{28A0092B-C50C-407E-A947-70E740481C1C}">
                        <a14:useLocalDpi xmlns:a14="http://schemas.microsoft.com/office/drawing/2010/main" val="0"/>
                      </a:ext>
                    </a:extLst>
                  </a:blip>
                  <a:stretch>
                    <a:fillRect/>
                  </a:stretch>
                </pic:blipFill>
                <pic:spPr>
                  <a:xfrm>
                    <a:off x="0" y="0"/>
                    <a:ext cx="5943600" cy="7373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70A19" w14:textId="77777777" w:rsidR="0034006A" w:rsidRDefault="0034006A" w:rsidP="003D7666">
      <w:r>
        <w:separator/>
      </w:r>
    </w:p>
  </w:footnote>
  <w:footnote w:type="continuationSeparator" w:id="0">
    <w:p w14:paraId="4E6A785C" w14:textId="77777777" w:rsidR="0034006A" w:rsidRDefault="0034006A" w:rsidP="003D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1E78" w14:textId="77777777" w:rsidR="003D7666" w:rsidRDefault="003D7666" w:rsidP="003D7666">
    <w:pPr>
      <w:pStyle w:val="Header"/>
      <w:jc w:val="center"/>
    </w:pPr>
  </w:p>
  <w:p w14:paraId="056FA988" w14:textId="77777777" w:rsidR="003D7666" w:rsidRDefault="003D7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B2196"/>
    <w:multiLevelType w:val="hybridMultilevel"/>
    <w:tmpl w:val="70DE5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7B4922"/>
    <w:multiLevelType w:val="hybridMultilevel"/>
    <w:tmpl w:val="16FC2192"/>
    <w:lvl w:ilvl="0" w:tplc="3098961E">
      <w:start w:val="1"/>
      <w:numFmt w:val="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3F17C27"/>
    <w:multiLevelType w:val="hybridMultilevel"/>
    <w:tmpl w:val="73DEA21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E117662"/>
    <w:multiLevelType w:val="hybridMultilevel"/>
    <w:tmpl w:val="9EF6D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10F6775"/>
    <w:multiLevelType w:val="hybridMultilevel"/>
    <w:tmpl w:val="641E44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0E3239"/>
    <w:multiLevelType w:val="hybridMultilevel"/>
    <w:tmpl w:val="36D626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C75FF6"/>
    <w:multiLevelType w:val="hybridMultilevel"/>
    <w:tmpl w:val="4484D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5EC7A52"/>
    <w:multiLevelType w:val="hybridMultilevel"/>
    <w:tmpl w:val="F5DC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231BBB"/>
    <w:multiLevelType w:val="hybridMultilevel"/>
    <w:tmpl w:val="377E52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EDD4B62"/>
    <w:multiLevelType w:val="hybridMultilevel"/>
    <w:tmpl w:val="DA76A2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91126641">
    <w:abstractNumId w:val="2"/>
  </w:num>
  <w:num w:numId="2" w16cid:durableId="1197767115">
    <w:abstractNumId w:val="8"/>
  </w:num>
  <w:num w:numId="3" w16cid:durableId="594098437">
    <w:abstractNumId w:val="1"/>
  </w:num>
  <w:num w:numId="4" w16cid:durableId="1650284303">
    <w:abstractNumId w:val="4"/>
  </w:num>
  <w:num w:numId="5" w16cid:durableId="1547182346">
    <w:abstractNumId w:val="9"/>
  </w:num>
  <w:num w:numId="6" w16cid:durableId="654912277">
    <w:abstractNumId w:val="5"/>
  </w:num>
  <w:num w:numId="7" w16cid:durableId="930771057">
    <w:abstractNumId w:val="7"/>
  </w:num>
  <w:num w:numId="8" w16cid:durableId="1396010581">
    <w:abstractNumId w:val="3"/>
  </w:num>
  <w:num w:numId="9" w16cid:durableId="1296913902">
    <w:abstractNumId w:val="0"/>
  </w:num>
  <w:num w:numId="10" w16cid:durableId="20799383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2NjMyMzI1MbIwNDFV0lEKTi0uzszPAykwrAUA9BiLmSwAAAA="/>
  </w:docVars>
  <w:rsids>
    <w:rsidRoot w:val="003D7666"/>
    <w:rsid w:val="0002444B"/>
    <w:rsid w:val="000A29B1"/>
    <w:rsid w:val="000C79E3"/>
    <w:rsid w:val="000E65EA"/>
    <w:rsid w:val="00125A85"/>
    <w:rsid w:val="00131835"/>
    <w:rsid w:val="00157FF3"/>
    <w:rsid w:val="001D584F"/>
    <w:rsid w:val="001F10A3"/>
    <w:rsid w:val="00287AE9"/>
    <w:rsid w:val="002A3ECF"/>
    <w:rsid w:val="002D551D"/>
    <w:rsid w:val="003168D4"/>
    <w:rsid w:val="0034006A"/>
    <w:rsid w:val="00350C5C"/>
    <w:rsid w:val="003623A1"/>
    <w:rsid w:val="0038141A"/>
    <w:rsid w:val="003A14E1"/>
    <w:rsid w:val="003A484F"/>
    <w:rsid w:val="003C0C4D"/>
    <w:rsid w:val="003D7666"/>
    <w:rsid w:val="00401FF4"/>
    <w:rsid w:val="00421733"/>
    <w:rsid w:val="004F3E49"/>
    <w:rsid w:val="005075F6"/>
    <w:rsid w:val="00575926"/>
    <w:rsid w:val="005A0462"/>
    <w:rsid w:val="006413EA"/>
    <w:rsid w:val="00643672"/>
    <w:rsid w:val="00683DB0"/>
    <w:rsid w:val="00750E94"/>
    <w:rsid w:val="00761368"/>
    <w:rsid w:val="00860F9F"/>
    <w:rsid w:val="0088350D"/>
    <w:rsid w:val="00922753"/>
    <w:rsid w:val="00923F02"/>
    <w:rsid w:val="0096176E"/>
    <w:rsid w:val="00997C50"/>
    <w:rsid w:val="009E3CC3"/>
    <w:rsid w:val="00A05AD3"/>
    <w:rsid w:val="00A37C1B"/>
    <w:rsid w:val="00A56BBB"/>
    <w:rsid w:val="00A61B3C"/>
    <w:rsid w:val="00A6561C"/>
    <w:rsid w:val="00AA7CD6"/>
    <w:rsid w:val="00AD62C6"/>
    <w:rsid w:val="00B0407D"/>
    <w:rsid w:val="00B54D50"/>
    <w:rsid w:val="00BF48A1"/>
    <w:rsid w:val="00C82377"/>
    <w:rsid w:val="00CA1CF0"/>
    <w:rsid w:val="00CF75E2"/>
    <w:rsid w:val="00D17F7B"/>
    <w:rsid w:val="00D6280C"/>
    <w:rsid w:val="00DE4CBF"/>
    <w:rsid w:val="00DF262B"/>
    <w:rsid w:val="00DF44E1"/>
    <w:rsid w:val="00E00B0D"/>
    <w:rsid w:val="00EA7415"/>
    <w:rsid w:val="00EB19E0"/>
    <w:rsid w:val="00EB34E0"/>
    <w:rsid w:val="00EB7AF5"/>
    <w:rsid w:val="00F32995"/>
    <w:rsid w:val="00F55FFF"/>
    <w:rsid w:val="00F71410"/>
    <w:rsid w:val="00FD244B"/>
    <w:rsid w:val="00FE7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01CC9"/>
  <w15:chartTrackingRefBased/>
  <w15:docId w15:val="{AA92E0DF-2F88-4E40-92B6-7420578F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6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D7666"/>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666"/>
    <w:pPr>
      <w:tabs>
        <w:tab w:val="center" w:pos="4680"/>
        <w:tab w:val="right" w:pos="9360"/>
      </w:tabs>
    </w:pPr>
  </w:style>
  <w:style w:type="character" w:customStyle="1" w:styleId="HeaderChar">
    <w:name w:val="Header Char"/>
    <w:basedOn w:val="DefaultParagraphFont"/>
    <w:link w:val="Header"/>
    <w:uiPriority w:val="99"/>
    <w:rsid w:val="003D7666"/>
  </w:style>
  <w:style w:type="paragraph" w:styleId="Footer">
    <w:name w:val="footer"/>
    <w:basedOn w:val="Normal"/>
    <w:link w:val="FooterChar"/>
    <w:unhideWhenUsed/>
    <w:rsid w:val="003D7666"/>
    <w:pPr>
      <w:tabs>
        <w:tab w:val="center" w:pos="4680"/>
        <w:tab w:val="right" w:pos="9360"/>
      </w:tabs>
    </w:pPr>
  </w:style>
  <w:style w:type="character" w:customStyle="1" w:styleId="FooterChar">
    <w:name w:val="Footer Char"/>
    <w:basedOn w:val="DefaultParagraphFont"/>
    <w:link w:val="Footer"/>
    <w:uiPriority w:val="99"/>
    <w:rsid w:val="003D7666"/>
  </w:style>
  <w:style w:type="character" w:customStyle="1" w:styleId="Heading1Char">
    <w:name w:val="Heading 1 Char"/>
    <w:basedOn w:val="DefaultParagraphFont"/>
    <w:link w:val="Heading1"/>
    <w:rsid w:val="003D7666"/>
    <w:rPr>
      <w:rFonts w:ascii="Times New Roman" w:eastAsia="Times New Roman" w:hAnsi="Times New Roman" w:cs="Times New Roman"/>
      <w:b/>
      <w:bCs/>
      <w:sz w:val="24"/>
      <w:szCs w:val="24"/>
      <w:u w:val="single"/>
    </w:rPr>
  </w:style>
  <w:style w:type="paragraph" w:styleId="BodyText">
    <w:name w:val="Body Text"/>
    <w:basedOn w:val="Normal"/>
    <w:link w:val="BodyTextChar"/>
    <w:rsid w:val="003D7666"/>
    <w:pPr>
      <w:spacing w:line="240" w:lineRule="exact"/>
    </w:pPr>
    <w:rPr>
      <w:rFonts w:ascii="Times" w:hAnsi="Times"/>
      <w:szCs w:val="20"/>
    </w:rPr>
  </w:style>
  <w:style w:type="character" w:customStyle="1" w:styleId="BodyTextChar">
    <w:name w:val="Body Text Char"/>
    <w:basedOn w:val="DefaultParagraphFont"/>
    <w:link w:val="BodyText"/>
    <w:rsid w:val="003D7666"/>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5A04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462"/>
    <w:rPr>
      <w:rFonts w:ascii="Segoe UI" w:eastAsia="Times New Roman" w:hAnsi="Segoe UI" w:cs="Segoe UI"/>
      <w:sz w:val="18"/>
      <w:szCs w:val="18"/>
    </w:rPr>
  </w:style>
  <w:style w:type="character" w:customStyle="1" w:styleId="pseditboxdisponly">
    <w:name w:val="pseditbox_disponly"/>
    <w:basedOn w:val="DefaultParagraphFont"/>
    <w:rsid w:val="00DE4CBF"/>
  </w:style>
  <w:style w:type="paragraph" w:styleId="ListParagraph">
    <w:name w:val="List Paragraph"/>
    <w:basedOn w:val="Normal"/>
    <w:uiPriority w:val="34"/>
    <w:qFormat/>
    <w:rsid w:val="005759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916093">
      <w:bodyDiv w:val="1"/>
      <w:marLeft w:val="0"/>
      <w:marRight w:val="0"/>
      <w:marTop w:val="0"/>
      <w:marBottom w:val="0"/>
      <w:divBdr>
        <w:top w:val="none" w:sz="0" w:space="0" w:color="auto"/>
        <w:left w:val="none" w:sz="0" w:space="0" w:color="auto"/>
        <w:bottom w:val="none" w:sz="0" w:space="0" w:color="auto"/>
        <w:right w:val="none" w:sz="0" w:space="0" w:color="auto"/>
      </w:divBdr>
    </w:div>
    <w:div w:id="1128936245">
      <w:bodyDiv w:val="1"/>
      <w:marLeft w:val="0"/>
      <w:marRight w:val="0"/>
      <w:marTop w:val="0"/>
      <w:marBottom w:val="0"/>
      <w:divBdr>
        <w:top w:val="none" w:sz="0" w:space="0" w:color="auto"/>
        <w:left w:val="none" w:sz="0" w:space="0" w:color="auto"/>
        <w:bottom w:val="none" w:sz="0" w:space="0" w:color="auto"/>
        <w:right w:val="none" w:sz="0" w:space="0" w:color="auto"/>
      </w:divBdr>
    </w:div>
    <w:div w:id="1271356949">
      <w:bodyDiv w:val="1"/>
      <w:marLeft w:val="0"/>
      <w:marRight w:val="0"/>
      <w:marTop w:val="0"/>
      <w:marBottom w:val="0"/>
      <w:divBdr>
        <w:top w:val="none" w:sz="0" w:space="0" w:color="auto"/>
        <w:left w:val="none" w:sz="0" w:space="0" w:color="auto"/>
        <w:bottom w:val="none" w:sz="0" w:space="0" w:color="auto"/>
        <w:right w:val="none" w:sz="0" w:space="0" w:color="auto"/>
      </w:divBdr>
    </w:div>
    <w:div w:id="1429040299">
      <w:bodyDiv w:val="1"/>
      <w:marLeft w:val="0"/>
      <w:marRight w:val="0"/>
      <w:marTop w:val="0"/>
      <w:marBottom w:val="0"/>
      <w:divBdr>
        <w:top w:val="none" w:sz="0" w:space="0" w:color="auto"/>
        <w:left w:val="none" w:sz="0" w:space="0" w:color="auto"/>
        <w:bottom w:val="none" w:sz="0" w:space="0" w:color="auto"/>
        <w:right w:val="none" w:sz="0" w:space="0" w:color="auto"/>
      </w:divBdr>
    </w:div>
    <w:div w:id="201360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58C07-FA4F-4235-91D0-23A773C7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Virginia Community College System</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K. Johnson</dc:creator>
  <cp:keywords/>
  <dc:description/>
  <cp:lastModifiedBy>Wendy Buesing</cp:lastModifiedBy>
  <cp:revision>3</cp:revision>
  <cp:lastPrinted>2016-02-18T17:12:00Z</cp:lastPrinted>
  <dcterms:created xsi:type="dcterms:W3CDTF">2022-08-30T18:55:00Z</dcterms:created>
  <dcterms:modified xsi:type="dcterms:W3CDTF">2022-08-30T18:56:00Z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a7a1fb-3f48-4fd9-bce0-6283cfafd648_Enabled">
    <vt:lpwstr>true</vt:lpwstr>
  </property>
  <property fmtid="{D5CDD505-2E9C-101B-9397-08002B2CF9AE}" pid="3" name="MSIP_Label_ffa7a1fb-3f48-4fd9-bce0-6283cfafd648_SetDate">
    <vt:lpwstr>2022-08-30T12:32:38Z</vt:lpwstr>
  </property>
  <property fmtid="{D5CDD505-2E9C-101B-9397-08002B2CF9AE}" pid="4" name="MSIP_Label_ffa7a1fb-3f48-4fd9-bce0-6283cfafd648_Method">
    <vt:lpwstr>Standard</vt:lpwstr>
  </property>
  <property fmtid="{D5CDD505-2E9C-101B-9397-08002B2CF9AE}" pid="5" name="MSIP_Label_ffa7a1fb-3f48-4fd9-bce0-6283cfafd648_Name">
    <vt:lpwstr>defa4170-0d19-0005-0004-bc88714345d2</vt:lpwstr>
  </property>
  <property fmtid="{D5CDD505-2E9C-101B-9397-08002B2CF9AE}" pid="6" name="MSIP_Label_ffa7a1fb-3f48-4fd9-bce0-6283cfafd648_SiteId">
    <vt:lpwstr>fab6beb5-3604-42df-bddc-f4e9ddd654d5</vt:lpwstr>
  </property>
  <property fmtid="{D5CDD505-2E9C-101B-9397-08002B2CF9AE}" pid="7" name="MSIP_Label_ffa7a1fb-3f48-4fd9-bce0-6283cfafd648_ActionId">
    <vt:lpwstr>2f45d403-9503-42af-a8e5-41c227e8f725</vt:lpwstr>
  </property>
  <property fmtid="{D5CDD505-2E9C-101B-9397-08002B2CF9AE}" pid="8" name="MSIP_Label_ffa7a1fb-3f48-4fd9-bce0-6283cfafd648_ContentBits">
    <vt:lpwstr>0</vt:lpwstr>
  </property>
</Properties>
</file>